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0A" w:rsidRDefault="00955E0A" w:rsidP="00955E0A">
      <w:pPr>
        <w:ind w:left="-300" w:firstLine="480"/>
        <w:rPr>
          <w:rFonts w:ascii="Arial" w:eastAsia="Times New Roman" w:hAnsi="Arial" w:cs="Arial"/>
          <w:b/>
          <w:bCs/>
          <w:color w:val="BF3F2F"/>
          <w:sz w:val="27"/>
          <w:szCs w:val="27"/>
        </w:rPr>
      </w:pPr>
      <w:r>
        <w:rPr>
          <w:rFonts w:ascii="Arial" w:eastAsia="Times New Roman" w:hAnsi="Arial" w:cs="Arial"/>
          <w:color w:val="000000"/>
        </w:rPr>
        <w:tab/>
      </w:r>
      <w:r>
        <w:rPr>
          <w:rFonts w:ascii="Arial" w:eastAsia="Times New Roman" w:hAnsi="Arial" w:cs="Arial"/>
          <w:b/>
          <w:bCs/>
          <w:color w:val="BF3F2F"/>
          <w:sz w:val="27"/>
          <w:szCs w:val="27"/>
        </w:rPr>
        <w:t xml:space="preserve">WEEK </w:t>
      </w:r>
      <w:proofErr w:type="gramStart"/>
      <w:r>
        <w:rPr>
          <w:rFonts w:ascii="Arial" w:eastAsia="Times New Roman" w:hAnsi="Arial" w:cs="Arial"/>
          <w:b/>
          <w:bCs/>
          <w:color w:val="BF3F2F"/>
          <w:sz w:val="27"/>
          <w:szCs w:val="27"/>
        </w:rPr>
        <w:t>FIVE</w:t>
      </w:r>
      <w:proofErr w:type="gramEnd"/>
      <w:r>
        <w:rPr>
          <w:rFonts w:ascii="Arial" w:eastAsia="Times New Roman" w:hAnsi="Arial" w:cs="Arial"/>
          <w:b/>
          <w:bCs/>
          <w:color w:val="BF3F2F"/>
          <w:sz w:val="27"/>
          <w:szCs w:val="27"/>
        </w:rPr>
        <w:t xml:space="preserve"> LEGISLATIVE REPORT</w:t>
      </w:r>
      <w:r>
        <w:rPr>
          <w:rFonts w:ascii="Arial" w:eastAsia="Times New Roman" w:hAnsi="Arial" w:cs="Arial"/>
          <w:b/>
          <w:bCs/>
          <w:color w:val="BF3F2F"/>
          <w:sz w:val="27"/>
          <w:szCs w:val="27"/>
        </w:rPr>
        <w:t xml:space="preserve"> </w:t>
      </w:r>
    </w:p>
    <w:p w:rsidR="006C33C5" w:rsidRDefault="00955E0A" w:rsidP="006C33C5">
      <w:pPr>
        <w:rPr>
          <w:rFonts w:ascii="Arial" w:eastAsia="Times New Roman" w:hAnsi="Arial" w:cs="Arial"/>
          <w:color w:val="000000"/>
          <w:sz w:val="18"/>
          <w:szCs w:val="18"/>
        </w:rPr>
      </w:pPr>
      <w:r>
        <w:rPr>
          <w:rFonts w:ascii="Arial" w:eastAsia="Times New Roman" w:hAnsi="Arial" w:cs="Arial"/>
          <w:color w:val="000000"/>
        </w:rPr>
        <w:tab/>
      </w:r>
      <w:r w:rsidR="006C33C5">
        <w:rPr>
          <w:rFonts w:ascii="Arial" w:eastAsia="Times New Roman" w:hAnsi="Arial" w:cs="Arial"/>
          <w:color w:val="000000"/>
        </w:rPr>
        <w:t xml:space="preserve">Four more legislative days flew by in the fifth week of the legislative session. Several big </w:t>
      </w:r>
      <w:r>
        <w:rPr>
          <w:rFonts w:ascii="Arial" w:eastAsia="Times New Roman" w:hAnsi="Arial" w:cs="Arial"/>
          <w:color w:val="000000"/>
        </w:rPr>
        <w:tab/>
      </w:r>
      <w:r w:rsidR="006C33C5">
        <w:rPr>
          <w:rFonts w:ascii="Arial" w:eastAsia="Times New Roman" w:hAnsi="Arial" w:cs="Arial"/>
          <w:color w:val="000000"/>
        </w:rPr>
        <w:t xml:space="preserve">announcements happened Under the Gold Dome dealing with rural broadband access in </w:t>
      </w:r>
      <w:r>
        <w:rPr>
          <w:rFonts w:ascii="Arial" w:eastAsia="Times New Roman" w:hAnsi="Arial" w:cs="Arial"/>
          <w:color w:val="000000"/>
        </w:rPr>
        <w:tab/>
      </w:r>
      <w:r w:rsidR="006C33C5">
        <w:rPr>
          <w:rFonts w:ascii="Arial" w:eastAsia="Times New Roman" w:hAnsi="Arial" w:cs="Arial"/>
          <w:color w:val="000000"/>
        </w:rPr>
        <w:t xml:space="preserve">Middle Georgia and additional funding in the amended budget for state employees. Many </w:t>
      </w:r>
      <w:r>
        <w:rPr>
          <w:rFonts w:ascii="Arial" w:eastAsia="Times New Roman" w:hAnsi="Arial" w:cs="Arial"/>
          <w:color w:val="000000"/>
        </w:rPr>
        <w:tab/>
      </w:r>
      <w:r w:rsidR="006C33C5">
        <w:rPr>
          <w:rFonts w:ascii="Arial" w:eastAsia="Times New Roman" w:hAnsi="Arial" w:cs="Arial"/>
          <w:color w:val="000000"/>
        </w:rPr>
        <w:t xml:space="preserve">agribusiness related bills have </w:t>
      </w:r>
      <w:proofErr w:type="gramStart"/>
      <w:r w:rsidR="006C33C5">
        <w:rPr>
          <w:rFonts w:ascii="Arial" w:eastAsia="Times New Roman" w:hAnsi="Arial" w:cs="Arial"/>
          <w:color w:val="000000"/>
        </w:rPr>
        <w:t>come to light</w:t>
      </w:r>
      <w:proofErr w:type="gramEnd"/>
      <w:r w:rsidR="006C33C5">
        <w:rPr>
          <w:rFonts w:ascii="Arial" w:eastAsia="Times New Roman" w:hAnsi="Arial" w:cs="Arial"/>
          <w:color w:val="000000"/>
        </w:rPr>
        <w:t xml:space="preserve"> as legislators continue to push through the </w:t>
      </w:r>
      <w:r>
        <w:rPr>
          <w:rFonts w:ascii="Arial" w:eastAsia="Times New Roman" w:hAnsi="Arial" w:cs="Arial"/>
          <w:color w:val="000000"/>
        </w:rPr>
        <w:tab/>
      </w:r>
      <w:r w:rsidR="006C33C5">
        <w:rPr>
          <w:rFonts w:ascii="Arial" w:eastAsia="Times New Roman" w:hAnsi="Arial" w:cs="Arial"/>
          <w:color w:val="000000"/>
        </w:rPr>
        <w:t xml:space="preserve">appropriations process and work on their individual priorities. </w:t>
      </w:r>
    </w:p>
    <w:tbl>
      <w:tblPr>
        <w:tblW w:w="4958" w:type="pct"/>
        <w:jc w:val="center"/>
        <w:tblCellMar>
          <w:left w:w="0" w:type="dxa"/>
          <w:right w:w="0" w:type="dxa"/>
        </w:tblCellMar>
        <w:tblLook w:val="04A0" w:firstRow="1" w:lastRow="0" w:firstColumn="1" w:lastColumn="0" w:noHBand="0" w:noVBand="1"/>
      </w:tblPr>
      <w:tblGrid>
        <w:gridCol w:w="10795"/>
        <w:gridCol w:w="5"/>
      </w:tblGrid>
      <w:tr w:rsidR="006C33C5" w:rsidTr="00654BC3">
        <w:trPr>
          <w:jc w:val="center"/>
        </w:trPr>
        <w:tc>
          <w:tcPr>
            <w:tcW w:w="4998" w:type="pct"/>
            <w:hideMark/>
          </w:tcPr>
          <w:tbl>
            <w:tblPr>
              <w:tblW w:w="5000" w:type="pct"/>
              <w:tblCellMar>
                <w:left w:w="0" w:type="dxa"/>
                <w:right w:w="0" w:type="dxa"/>
              </w:tblCellMar>
              <w:tblLook w:val="04A0" w:firstRow="1" w:lastRow="0" w:firstColumn="1" w:lastColumn="0" w:noHBand="0" w:noVBand="1"/>
            </w:tblPr>
            <w:tblGrid>
              <w:gridCol w:w="10795"/>
            </w:tblGrid>
            <w:tr w:rsidR="006C33C5">
              <w:tc>
                <w:tcPr>
                  <w:tcW w:w="0" w:type="auto"/>
                  <w:tcMar>
                    <w:top w:w="150" w:type="dxa"/>
                    <w:left w:w="300" w:type="dxa"/>
                    <w:bottom w:w="150" w:type="dxa"/>
                    <w:right w:w="150" w:type="dxa"/>
                  </w:tcMar>
                  <w:hideMark/>
                </w:tcPr>
                <w:p w:rsidR="006C33C5" w:rsidRDefault="00955E0A" w:rsidP="00654BC3">
                  <w:pPr>
                    <w:ind w:left="-300" w:firstLine="540"/>
                    <w:rPr>
                      <w:rFonts w:ascii="Arial" w:eastAsia="Times New Roman" w:hAnsi="Arial" w:cs="Arial"/>
                      <w:b/>
                      <w:bCs/>
                      <w:color w:val="BF3F2F"/>
                      <w:sz w:val="27"/>
                      <w:szCs w:val="27"/>
                    </w:rPr>
                  </w:pPr>
                  <w:r>
                    <w:rPr>
                      <w:rFonts w:ascii="Arial" w:eastAsia="Times New Roman" w:hAnsi="Arial" w:cs="Arial"/>
                      <w:b/>
                      <w:bCs/>
                      <w:color w:val="BF3F2F"/>
                      <w:sz w:val="27"/>
                      <w:szCs w:val="27"/>
                    </w:rPr>
                    <w:t xml:space="preserve">  </w:t>
                  </w:r>
                  <w:r w:rsidR="006C33C5">
                    <w:rPr>
                      <w:rFonts w:ascii="Arial" w:eastAsia="Times New Roman" w:hAnsi="Arial" w:cs="Arial"/>
                      <w:b/>
                      <w:bCs/>
                      <w:color w:val="BF3F2F"/>
                      <w:sz w:val="27"/>
                      <w:szCs w:val="27"/>
                    </w:rPr>
                    <w:t xml:space="preserve">2021 VIRTUAL LEGISLATIVE </w:t>
                  </w:r>
                </w:p>
                <w:p w:rsidR="006C33C5" w:rsidRDefault="00955E0A" w:rsidP="00654BC3">
                  <w:pPr>
                    <w:ind w:left="240"/>
                    <w:rPr>
                      <w:rFonts w:ascii="Arial" w:eastAsia="Times New Roman" w:hAnsi="Arial" w:cs="Arial"/>
                      <w:color w:val="000000"/>
                      <w:sz w:val="18"/>
                      <w:szCs w:val="18"/>
                    </w:rPr>
                  </w:pPr>
                  <w:r>
                    <w:rPr>
                      <w:rFonts w:ascii="Arial" w:eastAsia="Times New Roman" w:hAnsi="Arial" w:cs="Arial"/>
                      <w:b/>
                      <w:bCs/>
                      <w:color w:val="BF3F2F"/>
                      <w:sz w:val="27"/>
                      <w:szCs w:val="27"/>
                    </w:rPr>
                    <w:t xml:space="preserve">  </w:t>
                  </w:r>
                  <w:r w:rsidR="006C33C5">
                    <w:rPr>
                      <w:rFonts w:ascii="Arial" w:eastAsia="Times New Roman" w:hAnsi="Arial" w:cs="Arial"/>
                      <w:b/>
                      <w:bCs/>
                      <w:color w:val="BF3F2F"/>
                      <w:sz w:val="27"/>
                      <w:szCs w:val="27"/>
                    </w:rPr>
                    <w:t xml:space="preserve">BREAKFAST </w:t>
                  </w:r>
                </w:p>
                <w:tbl>
                  <w:tblPr>
                    <w:tblW w:w="5000" w:type="pct"/>
                    <w:jc w:val="center"/>
                    <w:tblCellMar>
                      <w:left w:w="0" w:type="dxa"/>
                      <w:right w:w="0" w:type="dxa"/>
                    </w:tblCellMar>
                    <w:tblLook w:val="04A0" w:firstRow="1" w:lastRow="0" w:firstColumn="1" w:lastColumn="0" w:noHBand="0" w:noVBand="1"/>
                  </w:tblPr>
                  <w:tblGrid>
                    <w:gridCol w:w="5172"/>
                    <w:gridCol w:w="5173"/>
                  </w:tblGrid>
                  <w:tr w:rsidR="00654BC3" w:rsidTr="00654BC3">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172"/>
                        </w:tblGrid>
                        <w:tr w:rsidR="00654BC3">
                          <w:tc>
                            <w:tcPr>
                              <w:tcW w:w="0" w:type="auto"/>
                              <w:tcMar>
                                <w:top w:w="150" w:type="dxa"/>
                                <w:left w:w="300" w:type="dxa"/>
                                <w:bottom w:w="150" w:type="dxa"/>
                                <w:right w:w="150" w:type="dxa"/>
                              </w:tcMar>
                              <w:hideMark/>
                            </w:tcPr>
                            <w:p w:rsidR="00654BC3" w:rsidRDefault="00955E0A" w:rsidP="00654BC3">
                              <w:pPr>
                                <w:rPr>
                                  <w:rFonts w:ascii="Arial" w:eastAsia="Times New Roman" w:hAnsi="Arial" w:cs="Arial"/>
                                  <w:color w:val="000000"/>
                                  <w:sz w:val="18"/>
                                  <w:szCs w:val="18"/>
                                </w:rPr>
                              </w:pPr>
                              <w:r>
                                <w:rPr>
                                  <w:rFonts w:ascii="Arial" w:eastAsia="Times New Roman" w:hAnsi="Arial" w:cs="Arial"/>
                                  <w:color w:val="000000"/>
                                </w:rPr>
                                <w:t xml:space="preserve">  </w:t>
                              </w:r>
                              <w:r w:rsidR="00654BC3">
                                <w:rPr>
                                  <w:rFonts w:ascii="Arial" w:eastAsia="Times New Roman" w:hAnsi="Arial" w:cs="Arial"/>
                                  <w:color w:val="000000"/>
                                </w:rPr>
                                <w:t xml:space="preserve">The Georgia Agribusiness Council </w:t>
                              </w:r>
                              <w:r>
                                <w:rPr>
                                  <w:rFonts w:ascii="Arial" w:eastAsia="Times New Roman" w:hAnsi="Arial" w:cs="Arial"/>
                                  <w:color w:val="000000"/>
                                </w:rPr>
                                <w:t xml:space="preserve">    </w:t>
                              </w:r>
                              <w:r w:rsidR="00654BC3">
                                <w:rPr>
                                  <w:rFonts w:ascii="Arial" w:eastAsia="Times New Roman" w:hAnsi="Arial" w:cs="Arial"/>
                                  <w:color w:val="000000"/>
                                </w:rPr>
                                <w:t xml:space="preserve">switched to a </w:t>
                              </w:r>
                              <w:proofErr w:type="gramStart"/>
                              <w:r w:rsidR="00654BC3">
                                <w:rPr>
                                  <w:rFonts w:ascii="Arial" w:eastAsia="Times New Roman" w:hAnsi="Arial" w:cs="Arial"/>
                                  <w:color w:val="000000"/>
                                </w:rPr>
                                <w:t>fully virtual</w:t>
                              </w:r>
                              <w:proofErr w:type="gramEnd"/>
                              <w:r w:rsidR="00654BC3">
                                <w:rPr>
                                  <w:rFonts w:ascii="Arial" w:eastAsia="Times New Roman" w:hAnsi="Arial" w:cs="Arial"/>
                                  <w:color w:val="000000"/>
                                </w:rPr>
                                <w:t xml:space="preserve"> format to present our annual legislative breakfast this year. The Legislative Breakfast </w:t>
                              </w:r>
                              <w:proofErr w:type="gramStart"/>
                              <w:r w:rsidR="00654BC3">
                                <w:rPr>
                                  <w:rFonts w:ascii="Arial" w:eastAsia="Times New Roman" w:hAnsi="Arial" w:cs="Arial"/>
                                  <w:color w:val="000000"/>
                                </w:rPr>
                                <w:t>was released</w:t>
                              </w:r>
                              <w:proofErr w:type="gramEnd"/>
                              <w:r w:rsidR="00654BC3">
                                <w:rPr>
                                  <w:rFonts w:ascii="Arial" w:eastAsia="Times New Roman" w:hAnsi="Arial" w:cs="Arial"/>
                                  <w:color w:val="000000"/>
                                </w:rPr>
                                <w:t xml:space="preserve"> Wednesday and is available for viewing for all GAC members. Please watch to hear from </w:t>
                              </w:r>
                              <w:r w:rsidR="00654BC3">
                                <w:rPr>
                                  <w:rFonts w:ascii="Arial" w:eastAsia="Times New Roman" w:hAnsi="Arial" w:cs="Arial"/>
                                  <w:b/>
                                  <w:bCs/>
                                  <w:color w:val="000000"/>
                                </w:rPr>
                                <w:t>Agriculture Commissioner Gary W. Black</w:t>
                              </w:r>
                              <w:r w:rsidR="00654BC3">
                                <w:rPr>
                                  <w:rFonts w:ascii="Arial" w:eastAsia="Times New Roman" w:hAnsi="Arial" w:cs="Arial"/>
                                  <w:color w:val="000000"/>
                                </w:rPr>
                                <w:t>,</w:t>
                              </w:r>
                              <w:r w:rsidR="00654BC3">
                                <w:rPr>
                                  <w:rFonts w:ascii="Arial" w:eastAsia="Times New Roman" w:hAnsi="Arial" w:cs="Arial"/>
                                  <w:b/>
                                  <w:bCs/>
                                  <w:color w:val="000000"/>
                                </w:rPr>
                                <w:t> Senate Ag Chairman Larry Walker III</w:t>
                              </w:r>
                              <w:r w:rsidR="00654BC3">
                                <w:rPr>
                                  <w:rFonts w:ascii="Arial" w:eastAsia="Times New Roman" w:hAnsi="Arial" w:cs="Arial"/>
                                  <w:color w:val="000000"/>
                                </w:rPr>
                                <w:t>, and </w:t>
                              </w:r>
                              <w:r w:rsidR="00654BC3">
                                <w:rPr>
                                  <w:rFonts w:ascii="Arial" w:eastAsia="Times New Roman" w:hAnsi="Arial" w:cs="Arial"/>
                                  <w:b/>
                                  <w:bCs/>
                                  <w:color w:val="000000"/>
                                </w:rPr>
                                <w:t>House Ag Chairman Robert Dickey</w:t>
                              </w:r>
                              <w:r w:rsidR="00654BC3">
                                <w:rPr>
                                  <w:rFonts w:ascii="Arial" w:eastAsia="Times New Roman" w:hAnsi="Arial" w:cs="Arial"/>
                                  <w:color w:val="000000"/>
                                </w:rPr>
                                <w:t>.</w:t>
                              </w:r>
                              <w:r w:rsidR="00654BC3">
                                <w:rPr>
                                  <w:rFonts w:ascii="Arial" w:eastAsia="Times New Roman" w:hAnsi="Arial" w:cs="Arial"/>
                                  <w:color w:val="000000"/>
                                  <w:sz w:val="18"/>
                                  <w:szCs w:val="18"/>
                                </w:rPr>
                                <w:t xml:space="preserve"> </w:t>
                              </w:r>
                            </w:p>
                          </w:tc>
                        </w:tr>
                      </w:tbl>
                      <w:p w:rsidR="00654BC3" w:rsidRDefault="00654BC3" w:rsidP="00654BC3">
                        <w:pPr>
                          <w:rPr>
                            <w:rFonts w:eastAsia="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5173"/>
                        </w:tblGrid>
                        <w:tr w:rsidR="00654BC3">
                          <w:tc>
                            <w:tcPr>
                              <w:tcW w:w="0" w:type="auto"/>
                              <w:tcMar>
                                <w:top w:w="150" w:type="dxa"/>
                                <w:left w:w="0" w:type="dxa"/>
                                <w:bottom w:w="150" w:type="dxa"/>
                                <w:right w:w="0" w:type="dxa"/>
                              </w:tcMar>
                              <w:hideMark/>
                            </w:tcPr>
                            <w:p w:rsidR="00654BC3" w:rsidRDefault="00654BC3" w:rsidP="00654BC3">
                              <w:pPr>
                                <w:jc w:val="center"/>
                                <w:rPr>
                                  <w:rFonts w:eastAsia="Times New Roman"/>
                                </w:rPr>
                              </w:pPr>
                              <w:r>
                                <w:rPr>
                                  <w:rFonts w:eastAsia="Times New Roman"/>
                                  <w:noProof/>
                                  <w:color w:val="0000FF"/>
                                </w:rPr>
                                <w:drawing>
                                  <wp:inline distT="0" distB="0" distL="0" distR="0">
                                    <wp:extent cx="3155121" cy="2406650"/>
                                    <wp:effectExtent l="0" t="0" r="7620" b="0"/>
                                    <wp:docPr id="17" name="Picture 17" descr="2021 GAC Virtual Legislative Breakfas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021 GAC Virtual Legislative 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3403" cy="2420595"/>
                                            </a:xfrm>
                                            <a:prstGeom prst="rect">
                                              <a:avLst/>
                                            </a:prstGeom>
                                            <a:noFill/>
                                            <a:ln>
                                              <a:noFill/>
                                            </a:ln>
                                          </pic:spPr>
                                        </pic:pic>
                                      </a:graphicData>
                                    </a:graphic>
                                  </wp:inline>
                                </w:drawing>
                              </w:r>
                            </w:p>
                          </w:tc>
                        </w:tr>
                      </w:tbl>
                      <w:p w:rsidR="00654BC3" w:rsidRDefault="00654BC3" w:rsidP="00654BC3">
                        <w:pPr>
                          <w:rPr>
                            <w:rFonts w:eastAsia="Times New Roman"/>
                            <w:sz w:val="20"/>
                            <w:szCs w:val="20"/>
                          </w:rPr>
                        </w:pPr>
                      </w:p>
                    </w:tc>
                  </w:tr>
                </w:tbl>
                <w:p w:rsidR="00654BC3" w:rsidRDefault="00654BC3" w:rsidP="006C33C5">
                  <w:pPr>
                    <w:ind w:left="-300"/>
                    <w:rPr>
                      <w:rFonts w:ascii="Arial" w:eastAsia="Times New Roman" w:hAnsi="Arial" w:cs="Arial"/>
                      <w:color w:val="000000"/>
                      <w:sz w:val="18"/>
                      <w:szCs w:val="18"/>
                    </w:rPr>
                  </w:pPr>
                </w:p>
                <w:tbl>
                  <w:tblPr>
                    <w:tblW w:w="5000" w:type="pct"/>
                    <w:jc w:val="center"/>
                    <w:tblCellMar>
                      <w:left w:w="0" w:type="dxa"/>
                      <w:right w:w="0" w:type="dxa"/>
                    </w:tblCellMar>
                    <w:tblLook w:val="04A0" w:firstRow="1" w:lastRow="0" w:firstColumn="1" w:lastColumn="0" w:noHBand="0" w:noVBand="1"/>
                  </w:tblPr>
                  <w:tblGrid>
                    <w:gridCol w:w="10345"/>
                  </w:tblGrid>
                  <w:tr w:rsidR="006C33C5" w:rsidTr="006C33C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345"/>
                        </w:tblGrid>
                        <w:tr w:rsidR="006C33C5">
                          <w:tc>
                            <w:tcPr>
                              <w:tcW w:w="0" w:type="auto"/>
                              <w:tcMar>
                                <w:top w:w="150" w:type="dxa"/>
                                <w:left w:w="300" w:type="dxa"/>
                                <w:bottom w:w="150" w:type="dxa"/>
                                <w:right w:w="300" w:type="dxa"/>
                              </w:tcMar>
                              <w:hideMark/>
                            </w:tcPr>
                            <w:p w:rsidR="006C33C5" w:rsidRDefault="006C33C5" w:rsidP="00654BC3">
                              <w:pPr>
                                <w:tabs>
                                  <w:tab w:val="left" w:pos="11550"/>
                                </w:tabs>
                                <w:ind w:left="12270" w:right="-6080"/>
                                <w:rPr>
                                  <w:rFonts w:ascii="Arial" w:eastAsia="Times New Roman" w:hAnsi="Arial" w:cs="Arial"/>
                                  <w:b/>
                                  <w:bCs/>
                                  <w:color w:val="BF3F2F"/>
                                  <w:sz w:val="27"/>
                                  <w:szCs w:val="27"/>
                                </w:rPr>
                              </w:pPr>
                            </w:p>
                            <w:p w:rsidR="006C33C5" w:rsidRDefault="006C33C5" w:rsidP="006C33C5">
                              <w:pPr>
                                <w:rPr>
                                  <w:rFonts w:ascii="Arial" w:eastAsia="Times New Roman" w:hAnsi="Arial" w:cs="Arial"/>
                                  <w:b/>
                                  <w:bCs/>
                                  <w:color w:val="BF3F2F"/>
                                  <w:sz w:val="27"/>
                                  <w:szCs w:val="27"/>
                                </w:rPr>
                              </w:pPr>
                            </w:p>
                            <w:p w:rsidR="006C33C5" w:rsidRDefault="006C33C5" w:rsidP="006C33C5">
                              <w:pPr>
                                <w:rPr>
                                  <w:rFonts w:ascii="Arial" w:eastAsia="Times New Roman" w:hAnsi="Arial" w:cs="Arial"/>
                                  <w:color w:val="000000"/>
                                  <w:sz w:val="18"/>
                                  <w:szCs w:val="18"/>
                                </w:rPr>
                              </w:pPr>
                              <w:r>
                                <w:rPr>
                                  <w:rFonts w:ascii="Arial" w:eastAsia="Times New Roman" w:hAnsi="Arial" w:cs="Arial"/>
                                  <w:b/>
                                  <w:bCs/>
                                  <w:color w:val="BF3F2F"/>
                                  <w:sz w:val="27"/>
                                  <w:szCs w:val="27"/>
                                </w:rPr>
                                <w:t xml:space="preserve">KEMP, DUNCAN, RALSTON ANNOUNCE $1,000 BONUS FOR STATE EMPLOYEES IN FY21 BUDGET </w:t>
                              </w:r>
                            </w:p>
                            <w:p w:rsidR="006C33C5" w:rsidRDefault="006C33C5" w:rsidP="006C33C5">
                              <w:pPr>
                                <w:rPr>
                                  <w:rFonts w:ascii="Arial" w:eastAsia="Times New Roman" w:hAnsi="Arial" w:cs="Arial"/>
                                  <w:color w:val="000000"/>
                                  <w:sz w:val="18"/>
                                  <w:szCs w:val="18"/>
                                </w:rPr>
                              </w:pPr>
                              <w:proofErr w:type="gramStart"/>
                              <w:r>
                                <w:rPr>
                                  <w:rFonts w:ascii="Arial" w:eastAsia="Times New Roman" w:hAnsi="Arial" w:cs="Arial"/>
                                  <w:color w:val="171511"/>
                                </w:rPr>
                                <w:t xml:space="preserve">Governor </w:t>
                              </w:r>
                              <w:r>
                                <w:rPr>
                                  <w:rFonts w:ascii="Arial" w:eastAsia="Times New Roman" w:hAnsi="Arial" w:cs="Arial"/>
                                  <w:b/>
                                  <w:bCs/>
                                  <w:color w:val="171511"/>
                                </w:rPr>
                                <w:t>Brian P. Kemp</w:t>
                              </w:r>
                              <w:r>
                                <w:rPr>
                                  <w:rFonts w:ascii="Arial" w:eastAsia="Times New Roman" w:hAnsi="Arial" w:cs="Arial"/>
                                  <w:color w:val="171511"/>
                                </w:rPr>
                                <w:t xml:space="preserve"> joined Lt. Governor </w:t>
                              </w:r>
                              <w:r>
                                <w:rPr>
                                  <w:rFonts w:ascii="Arial" w:eastAsia="Times New Roman" w:hAnsi="Arial" w:cs="Arial"/>
                                  <w:b/>
                                  <w:bCs/>
                                  <w:color w:val="171511"/>
                                </w:rPr>
                                <w:t>Geoff Duncan</w:t>
                              </w:r>
                              <w:r>
                                <w:rPr>
                                  <w:rFonts w:ascii="Arial" w:eastAsia="Times New Roman" w:hAnsi="Arial" w:cs="Arial"/>
                                  <w:color w:val="171511"/>
                                </w:rPr>
                                <w:t xml:space="preserve">, Speaker </w:t>
                              </w:r>
                              <w:r>
                                <w:rPr>
                                  <w:rFonts w:ascii="Arial" w:eastAsia="Times New Roman" w:hAnsi="Arial" w:cs="Arial"/>
                                  <w:b/>
                                  <w:bCs/>
                                  <w:color w:val="171511"/>
                                </w:rPr>
                                <w:t>David Ralston</w:t>
                              </w:r>
                              <w:r>
                                <w:rPr>
                                  <w:rFonts w:ascii="Arial" w:eastAsia="Times New Roman" w:hAnsi="Arial" w:cs="Arial"/>
                                  <w:color w:val="171511"/>
                                </w:rPr>
                                <w:t xml:space="preserve">, Speaker Pro Tempore </w:t>
                              </w:r>
                              <w:r>
                                <w:rPr>
                                  <w:rFonts w:ascii="Arial" w:eastAsia="Times New Roman" w:hAnsi="Arial" w:cs="Arial"/>
                                  <w:b/>
                                  <w:bCs/>
                                  <w:color w:val="171511"/>
                                </w:rPr>
                                <w:t>Jan Jones</w:t>
                              </w:r>
                              <w:r>
                                <w:rPr>
                                  <w:rFonts w:ascii="Arial" w:eastAsia="Times New Roman" w:hAnsi="Arial" w:cs="Arial"/>
                                  <w:color w:val="171511"/>
                                </w:rPr>
                                <w:t xml:space="preserve">, Majority Leader </w:t>
                              </w:r>
                              <w:r>
                                <w:rPr>
                                  <w:rFonts w:ascii="Arial" w:eastAsia="Times New Roman" w:hAnsi="Arial" w:cs="Arial"/>
                                  <w:b/>
                                  <w:bCs/>
                                  <w:color w:val="171511"/>
                                </w:rPr>
                                <w:t>Jon Burns</w:t>
                              </w:r>
                              <w:r>
                                <w:rPr>
                                  <w:rFonts w:ascii="Arial" w:eastAsia="Times New Roman" w:hAnsi="Arial" w:cs="Arial"/>
                                  <w:color w:val="171511"/>
                                </w:rPr>
                                <w:t xml:space="preserve">, House Appropriations Chairman </w:t>
                              </w:r>
                              <w:r>
                                <w:rPr>
                                  <w:rFonts w:ascii="Arial" w:eastAsia="Times New Roman" w:hAnsi="Arial" w:cs="Arial"/>
                                  <w:b/>
                                  <w:bCs/>
                                  <w:color w:val="171511"/>
                                </w:rPr>
                                <w:t>Terry England</w:t>
                              </w:r>
                              <w:r>
                                <w:rPr>
                                  <w:rFonts w:ascii="Arial" w:eastAsia="Times New Roman" w:hAnsi="Arial" w:cs="Arial"/>
                                  <w:color w:val="171511"/>
                                </w:rPr>
                                <w:t>, and Senate Appropriations Chairman</w:t>
                              </w:r>
                              <w:r>
                                <w:rPr>
                                  <w:rFonts w:ascii="Arial" w:eastAsia="Times New Roman" w:hAnsi="Arial" w:cs="Arial"/>
                                  <w:b/>
                                  <w:bCs/>
                                  <w:color w:val="171511"/>
                                </w:rPr>
                                <w:t xml:space="preserve"> Blake </w:t>
                              </w:r>
                              <w:proofErr w:type="spellStart"/>
                              <w:r>
                                <w:rPr>
                                  <w:rFonts w:ascii="Arial" w:eastAsia="Times New Roman" w:hAnsi="Arial" w:cs="Arial"/>
                                  <w:b/>
                                  <w:bCs/>
                                  <w:color w:val="171511"/>
                                </w:rPr>
                                <w:t>Tillery</w:t>
                              </w:r>
                              <w:proofErr w:type="spellEnd"/>
                              <w:r>
                                <w:rPr>
                                  <w:rFonts w:ascii="Arial" w:eastAsia="Times New Roman" w:hAnsi="Arial" w:cs="Arial"/>
                                  <w:b/>
                                  <w:bCs/>
                                  <w:color w:val="171511"/>
                                </w:rPr>
                                <w:t xml:space="preserve"> </w:t>
                              </w:r>
                              <w:r>
                                <w:rPr>
                                  <w:rFonts w:ascii="Arial" w:eastAsia="Times New Roman" w:hAnsi="Arial" w:cs="Arial"/>
                                  <w:color w:val="171511"/>
                                </w:rPr>
                                <w:t>to announce that the amended FY21 budget for the State of Georgia will include a $59.6 million expenditure for a one-time bonus of $1,000 to state employees making less than $80,000 per year.</w:t>
                              </w:r>
                              <w:proofErr w:type="gramEnd"/>
                              <w:r>
                                <w:rPr>
                                  <w:rFonts w:ascii="Arial" w:eastAsia="Times New Roman" w:hAnsi="Arial" w:cs="Arial"/>
                                  <w:color w:val="171511"/>
                                </w:rPr>
                                <w:t xml:space="preserve"> </w:t>
                              </w:r>
                            </w:p>
                            <w:p w:rsidR="006C33C5" w:rsidRDefault="006C33C5" w:rsidP="006C33C5">
                              <w:pPr>
                                <w:rPr>
                                  <w:rFonts w:ascii="Arial" w:eastAsia="Times New Roman" w:hAnsi="Arial" w:cs="Arial"/>
                                  <w:color w:val="000000"/>
                                  <w:sz w:val="18"/>
                                  <w:szCs w:val="18"/>
                                </w:rPr>
                              </w:pPr>
                              <w:r>
                                <w:rPr>
                                  <w:rFonts w:ascii="Tahoma" w:eastAsia="Times New Roman" w:hAnsi="Tahoma" w:cs="Tahoma"/>
                                  <w:color w:val="171511"/>
                                </w:rPr>
                                <w:t>﻿</w:t>
                              </w:r>
                            </w:p>
                            <w:p w:rsidR="006C33C5" w:rsidRDefault="006C33C5" w:rsidP="006C33C5">
                              <w:pPr>
                                <w:rPr>
                                  <w:rFonts w:ascii="Arial" w:eastAsia="Times New Roman" w:hAnsi="Arial" w:cs="Arial"/>
                                  <w:color w:val="000000"/>
                                  <w:sz w:val="18"/>
                                  <w:szCs w:val="18"/>
                                </w:rPr>
                              </w:pPr>
                              <w:r>
                                <w:rPr>
                                  <w:rFonts w:ascii="Arial" w:eastAsia="Times New Roman" w:hAnsi="Arial" w:cs="Arial"/>
                                  <w:color w:val="000000"/>
                                </w:rPr>
                                <w:t xml:space="preserve">“Georgia is rich with good soil, but we must continue to keep </w:t>
                              </w:r>
                              <w:proofErr w:type="gramStart"/>
                              <w:r>
                                <w:rPr>
                                  <w:rFonts w:ascii="Arial" w:eastAsia="Times New Roman" w:hAnsi="Arial" w:cs="Arial"/>
                                  <w:color w:val="000000"/>
                                </w:rPr>
                                <w:t>planting</w:t>
                              </w:r>
                              <w:proofErr w:type="gramEnd"/>
                              <w:r>
                                <w:rPr>
                                  <w:rFonts w:ascii="Arial" w:eastAsia="Times New Roman" w:hAnsi="Arial" w:cs="Arial"/>
                                  <w:color w:val="000000"/>
                                </w:rPr>
                                <w:t xml:space="preserve">” said Governor Kemp. </w:t>
                              </w:r>
                              <w:r>
                                <w:rPr>
                                  <w:rFonts w:ascii="Arial" w:eastAsia="Times New Roman" w:hAnsi="Arial" w:cs="Arial"/>
                                  <w:color w:val="171511"/>
                                </w:rPr>
                                <w:t>"Despite a deadly, global pandemic, our state employees have gone above and beyond to continue delivering essential services to our most vulnerable, help keep businesses open and deliver financial assistance to those who were tempted to lose hope. Like so many hardworking Georgians, they juggled jobs, school, and navigating the new normal. With a $1,000 supplement for state employees who make less than $80,000 a year, we can do our part as state leaders to say 'thank you' and prioritize the people who make it possible for Georgia to be the top state for business and who have done the hard work to ensure Georgia's best days are still to come."</w:t>
                              </w:r>
                              <w:r>
                                <w:rPr>
                                  <w:rFonts w:ascii="Arial" w:eastAsia="Times New Roman" w:hAnsi="Arial" w:cs="Arial"/>
                                  <w:color w:val="000000"/>
                                  <w:sz w:val="18"/>
                                  <w:szCs w:val="18"/>
                                </w:rPr>
                                <w:t xml:space="preserve"> </w:t>
                              </w:r>
                            </w:p>
                          </w:tc>
                        </w:tr>
                      </w:tbl>
                      <w:p w:rsidR="006C33C5" w:rsidRDefault="006C33C5" w:rsidP="006C33C5">
                        <w:pPr>
                          <w:rPr>
                            <w:rFonts w:eastAsia="Times New Roman"/>
                            <w:sz w:val="20"/>
                            <w:szCs w:val="20"/>
                          </w:rPr>
                        </w:pPr>
                      </w:p>
                    </w:tc>
                  </w:tr>
                </w:tbl>
                <w:p w:rsidR="006C33C5" w:rsidRDefault="006C33C5" w:rsidP="006C33C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345"/>
                  </w:tblGrid>
                  <w:tr w:rsidR="006C33C5" w:rsidTr="006C33C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345"/>
                        </w:tblGrid>
                        <w:tr w:rsidR="006C33C5">
                          <w:tc>
                            <w:tcPr>
                              <w:tcW w:w="0" w:type="auto"/>
                              <w:hideMark/>
                            </w:tcPr>
                            <w:tbl>
                              <w:tblPr>
                                <w:tblW w:w="5000" w:type="pct"/>
                                <w:jc w:val="center"/>
                                <w:tblLook w:val="04A0" w:firstRow="1" w:lastRow="0" w:firstColumn="1" w:lastColumn="0" w:noHBand="0" w:noVBand="1"/>
                              </w:tblPr>
                              <w:tblGrid>
                                <w:gridCol w:w="10345"/>
                              </w:tblGrid>
                              <w:tr w:rsidR="006C33C5">
                                <w:trPr>
                                  <w:jc w:val="center"/>
                                </w:trPr>
                                <w:tc>
                                  <w:tcPr>
                                    <w:tcW w:w="5000" w:type="pct"/>
                                    <w:tcMar>
                                      <w:top w:w="135" w:type="dxa"/>
                                      <w:left w:w="0" w:type="dxa"/>
                                      <w:bottom w:w="135" w:type="dxa"/>
                                      <w:right w:w="0" w:type="dxa"/>
                                    </w:tcMar>
                                    <w:hideMark/>
                                  </w:tcPr>
                                  <w:tbl>
                                    <w:tblPr>
                                      <w:tblW w:w="4617" w:type="pct"/>
                                      <w:jc w:val="center"/>
                                      <w:tblCellMar>
                                        <w:left w:w="0" w:type="dxa"/>
                                        <w:right w:w="0" w:type="dxa"/>
                                      </w:tblCellMar>
                                      <w:tblLook w:val="04A0" w:firstRow="1" w:lastRow="0" w:firstColumn="1" w:lastColumn="0" w:noHBand="0" w:noVBand="1"/>
                                    </w:tblPr>
                                    <w:tblGrid>
                                      <w:gridCol w:w="9553"/>
                                    </w:tblGrid>
                                    <w:tr w:rsidR="006C33C5" w:rsidTr="00D165BA">
                                      <w:trPr>
                                        <w:trHeight w:val="12"/>
                                        <w:jc w:val="center"/>
                                      </w:trPr>
                                      <w:tc>
                                        <w:tcPr>
                                          <w:tcW w:w="0" w:type="auto"/>
                                          <w:shd w:val="clear" w:color="auto" w:fill="000000"/>
                                          <w:tcMar>
                                            <w:top w:w="0" w:type="dxa"/>
                                            <w:left w:w="0" w:type="dxa"/>
                                            <w:bottom w:w="45" w:type="dxa"/>
                                            <w:right w:w="0" w:type="dxa"/>
                                          </w:tcMar>
                                          <w:vAlign w:val="center"/>
                                          <w:hideMark/>
                                        </w:tcPr>
                                        <w:p w:rsidR="006C33C5" w:rsidRDefault="006C33C5" w:rsidP="006C33C5">
                                          <w:pPr>
                                            <w:spacing w:line="15" w:lineRule="atLeast"/>
                                            <w:jc w:val="center"/>
                                            <w:rPr>
                                              <w:rFonts w:eastAsia="Times New Roman"/>
                                            </w:rPr>
                                          </w:pPr>
                                          <w:r>
                                            <w:rPr>
                                              <w:rFonts w:eastAsia="Times New Roman"/>
                                              <w:noProof/>
                                            </w:rPr>
                                            <w:drawing>
                                              <wp:inline distT="0" distB="0" distL="0" distR="0">
                                                <wp:extent cx="44450" cy="6350"/>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3C5" w:rsidRDefault="006C33C5" w:rsidP="006C33C5">
                                    <w:pPr>
                                      <w:jc w:val="center"/>
                                      <w:rPr>
                                        <w:rFonts w:eastAsia="Times New Roman"/>
                                        <w:sz w:val="20"/>
                                        <w:szCs w:val="20"/>
                                      </w:rPr>
                                    </w:pPr>
                                  </w:p>
                                </w:tc>
                              </w:tr>
                            </w:tbl>
                            <w:p w:rsidR="006C33C5" w:rsidRDefault="006C33C5" w:rsidP="006C33C5">
                              <w:pPr>
                                <w:jc w:val="center"/>
                                <w:rPr>
                                  <w:rFonts w:eastAsia="Times New Roman"/>
                                  <w:sz w:val="20"/>
                                  <w:szCs w:val="20"/>
                                </w:rPr>
                              </w:pPr>
                            </w:p>
                          </w:tc>
                        </w:tr>
                      </w:tbl>
                      <w:p w:rsidR="006C33C5" w:rsidRDefault="006C33C5" w:rsidP="006C33C5">
                        <w:pPr>
                          <w:rPr>
                            <w:rFonts w:eastAsia="Times New Roman"/>
                            <w:sz w:val="20"/>
                            <w:szCs w:val="20"/>
                          </w:rPr>
                        </w:pPr>
                      </w:p>
                    </w:tc>
                  </w:tr>
                </w:tbl>
                <w:p w:rsidR="006C33C5" w:rsidRDefault="006C33C5" w:rsidP="006C33C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345"/>
                  </w:tblGrid>
                  <w:tr w:rsidR="006C33C5" w:rsidTr="006C33C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345"/>
                        </w:tblGrid>
                        <w:tr w:rsidR="006C33C5">
                          <w:tc>
                            <w:tcPr>
                              <w:tcW w:w="0" w:type="auto"/>
                              <w:tcMar>
                                <w:top w:w="150" w:type="dxa"/>
                                <w:left w:w="300" w:type="dxa"/>
                                <w:bottom w:w="150" w:type="dxa"/>
                                <w:right w:w="300" w:type="dxa"/>
                              </w:tcMar>
                              <w:hideMark/>
                            </w:tcPr>
                            <w:tbl>
                              <w:tblPr>
                                <w:tblpPr w:leftFromText="30" w:rightFromText="115" w:vertAnchor="text"/>
                                <w:tblW w:w="0" w:type="auto"/>
                                <w:tblCellMar>
                                  <w:left w:w="0" w:type="dxa"/>
                                  <w:right w:w="0" w:type="dxa"/>
                                </w:tblCellMar>
                                <w:tblLook w:val="04A0" w:firstRow="1" w:lastRow="0" w:firstColumn="1" w:lastColumn="0" w:noHBand="0" w:noVBand="1"/>
                              </w:tblPr>
                              <w:tblGrid>
                                <w:gridCol w:w="2640"/>
                                <w:gridCol w:w="225"/>
                              </w:tblGrid>
                              <w:tr w:rsidR="006C33C5">
                                <w:trPr>
                                  <w:trHeight w:val="15"/>
                                </w:trPr>
                                <w:tc>
                                  <w:tcPr>
                                    <w:tcW w:w="0" w:type="auto"/>
                                    <w:hideMark/>
                                  </w:tcPr>
                                  <w:p w:rsidR="006C33C5" w:rsidRDefault="006C33C5" w:rsidP="006C33C5">
                                    <w:pPr>
                                      <w:jc w:val="center"/>
                                      <w:rPr>
                                        <w:rFonts w:eastAsia="Times New Roman"/>
                                      </w:rPr>
                                    </w:pPr>
                                    <w:r>
                                      <w:rPr>
                                        <w:rFonts w:eastAsia="Times New Roman"/>
                                        <w:noProof/>
                                      </w:rPr>
                                      <w:drawing>
                                        <wp:inline distT="0" distB="0" distL="0" distR="0">
                                          <wp:extent cx="1670050" cy="2114550"/>
                                          <wp:effectExtent l="0" t="0" r="6350" b="0"/>
                                          <wp:docPr id="7" name="Picture 7" descr="https://files.constantcontact.com/d2766818501/0cf2283d-f4cb-49cf-8698-3fde4d25f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constantcontact.com/d2766818501/0cf2283d-f4cb-49cf-8698-3fde4d25f2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050" cy="2114550"/>
                                                  </a:xfrm>
                                                  <a:prstGeom prst="rect">
                                                    <a:avLst/>
                                                  </a:prstGeom>
                                                  <a:noFill/>
                                                  <a:ln>
                                                    <a:noFill/>
                                                  </a:ln>
                                                </pic:spPr>
                                              </pic:pic>
                                            </a:graphicData>
                                          </a:graphic>
                                        </wp:inline>
                                      </w:drawing>
                                    </w:r>
                                  </w:p>
                                </w:tc>
                                <w:tc>
                                  <w:tcPr>
                                    <w:tcW w:w="225" w:type="dxa"/>
                                    <w:hideMark/>
                                  </w:tcPr>
                                  <w:p w:rsidR="006C33C5" w:rsidRDefault="006C33C5" w:rsidP="006C33C5">
                                    <w:pPr>
                                      <w:spacing w:line="15" w:lineRule="atLeast"/>
                                      <w:jc w:val="center"/>
                                      <w:rPr>
                                        <w:rFonts w:eastAsia="Times New Roman"/>
                                      </w:rPr>
                                    </w:pPr>
                                    <w:r>
                                      <w:rPr>
                                        <w:rFonts w:eastAsia="Times New Roman"/>
                                        <w:noProof/>
                                      </w:rPr>
                                      <w:drawing>
                                        <wp:inline distT="0" distB="0" distL="0" distR="0">
                                          <wp:extent cx="139700" cy="6350"/>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r>
                              <w:tr w:rsidR="006C33C5">
                                <w:trPr>
                                  <w:trHeight w:val="15"/>
                                </w:trPr>
                                <w:tc>
                                  <w:tcPr>
                                    <w:tcW w:w="0" w:type="auto"/>
                                    <w:hideMark/>
                                  </w:tcPr>
                                  <w:p w:rsidR="006C33C5" w:rsidRDefault="006C33C5" w:rsidP="006C33C5">
                                    <w:pPr>
                                      <w:spacing w:line="15" w:lineRule="atLeast"/>
                                      <w:jc w:val="center"/>
                                      <w:rPr>
                                        <w:rFonts w:eastAsia="Times New Roman"/>
                                      </w:rPr>
                                    </w:pPr>
                                    <w:r>
                                      <w:rPr>
                                        <w:rFonts w:eastAsia="Times New Roman"/>
                                        <w:noProof/>
                                      </w:rPr>
                                      <w:drawing>
                                        <wp:inline distT="0" distB="0" distL="0" distR="0">
                                          <wp:extent cx="6350" cy="44450"/>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c>
                                  <w:tcPr>
                                    <w:tcW w:w="75" w:type="dxa"/>
                                    <w:hideMark/>
                                  </w:tcPr>
                                  <w:p w:rsidR="006C33C5" w:rsidRDefault="006C33C5" w:rsidP="006C33C5">
                                    <w:pPr>
                                      <w:spacing w:line="15" w:lineRule="atLeast"/>
                                      <w:jc w:val="center"/>
                                      <w:rPr>
                                        <w:rFonts w:eastAsia="Times New Roman"/>
                                      </w:rPr>
                                    </w:pPr>
                                    <w:r>
                                      <w:rPr>
                                        <w:rFonts w:eastAsia="Times New Roman"/>
                                        <w:noProof/>
                                      </w:rPr>
                                      <w:drawing>
                                        <wp:inline distT="0" distB="0" distL="0" distR="0">
                                          <wp:extent cx="44450" cy="635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3C5" w:rsidRDefault="006C33C5" w:rsidP="006C33C5">
                              <w:pPr>
                                <w:rPr>
                                  <w:rFonts w:ascii="Arial" w:eastAsia="Times New Roman" w:hAnsi="Arial" w:cs="Arial"/>
                                  <w:color w:val="000000"/>
                                  <w:sz w:val="18"/>
                                  <w:szCs w:val="18"/>
                                </w:rPr>
                              </w:pPr>
                              <w:r>
                                <w:rPr>
                                  <w:rFonts w:ascii="Arial" w:eastAsia="Times New Roman" w:hAnsi="Arial" w:cs="Arial"/>
                                  <w:b/>
                                  <w:bCs/>
                                  <w:color w:val="BF3F2F"/>
                                  <w:sz w:val="27"/>
                                  <w:szCs w:val="27"/>
                                </w:rPr>
                                <w:t>CHAIRMAN WALKER HOLDS SECOND AG COMMITTEE MEETING</w:t>
                              </w:r>
                            </w:p>
                            <w:p w:rsidR="006C33C5" w:rsidRDefault="006C33C5" w:rsidP="006C33C5">
                              <w:pPr>
                                <w:rPr>
                                  <w:rFonts w:ascii="Arial" w:eastAsia="Times New Roman" w:hAnsi="Arial" w:cs="Arial"/>
                                  <w:color w:val="000000"/>
                                  <w:sz w:val="18"/>
                                  <w:szCs w:val="18"/>
                                </w:rPr>
                              </w:pPr>
                              <w:r>
                                <w:rPr>
                                  <w:rFonts w:ascii="Arial" w:eastAsia="Times New Roman" w:hAnsi="Arial" w:cs="Arial"/>
                                  <w:color w:val="000000"/>
                                </w:rPr>
                                <w:t xml:space="preserve">Chairman </w:t>
                              </w:r>
                              <w:r>
                                <w:rPr>
                                  <w:rFonts w:ascii="Arial" w:eastAsia="Times New Roman" w:hAnsi="Arial" w:cs="Arial"/>
                                  <w:b/>
                                  <w:bCs/>
                                  <w:color w:val="000000"/>
                                </w:rPr>
                                <w:t>Larry Walker</w:t>
                              </w:r>
                              <w:r>
                                <w:rPr>
                                  <w:rFonts w:ascii="Arial" w:eastAsia="Times New Roman" w:hAnsi="Arial" w:cs="Arial"/>
                                  <w:color w:val="000000"/>
                                </w:rPr>
                                <w:t xml:space="preserve"> convened the second Senate Agriculture and Consumer Affairs committee meeting on Monday afternoon. The only action taken was from Chairman Walker as he presented, Senate Bill 86. </w:t>
                              </w:r>
                              <w:r>
                                <w:rPr>
                                  <w:rFonts w:ascii="Arial" w:eastAsia="Times New Roman" w:hAnsi="Arial" w:cs="Arial"/>
                                  <w:b/>
                                  <w:bCs/>
                                  <w:color w:val="000000"/>
                                </w:rPr>
                                <w:t>SB 86</w:t>
                              </w:r>
                              <w:r>
                                <w:rPr>
                                  <w:rFonts w:ascii="Arial" w:eastAsia="Times New Roman" w:hAnsi="Arial" w:cs="Arial"/>
                                  <w:color w:val="000000"/>
                                </w:rPr>
                                <w:t xml:space="preserve">, also known as the Fair Business Practices Act of 1975, </w:t>
                              </w:r>
                              <w:proofErr w:type="gramStart"/>
                              <w:r>
                                <w:rPr>
                                  <w:rFonts w:ascii="Arial" w:eastAsia="Times New Roman" w:hAnsi="Arial" w:cs="Arial"/>
                                  <w:color w:val="000000"/>
                                </w:rPr>
                                <w:t>is aimed</w:t>
                              </w:r>
                              <w:proofErr w:type="gramEnd"/>
                              <w:r>
                                <w:rPr>
                                  <w:rFonts w:ascii="Arial" w:eastAsia="Times New Roman" w:hAnsi="Arial" w:cs="Arial"/>
                                  <w:color w:val="000000"/>
                                </w:rPr>
                                <w:t xml:space="preserve"> to protect consumers by clearly identifying when solicitations are sent disguised as official government letters. "Any written solicitation for services related to corporate filing shall include, in at least 16 point Helvetica font at the top of any solicitation, that it is not an official government document. Failure to comply with these requirements will result in civil penalties." The bill passed with unanimous consent and the committee adjourned until Thursday, February 11th.</w:t>
                              </w:r>
                              <w:r>
                                <w:rPr>
                                  <w:rFonts w:ascii="Arial" w:eastAsia="Times New Roman" w:hAnsi="Arial" w:cs="Arial"/>
                                  <w:color w:val="000000"/>
                                  <w:sz w:val="18"/>
                                  <w:szCs w:val="18"/>
                                </w:rPr>
                                <w:t xml:space="preserve"> </w:t>
                              </w:r>
                            </w:p>
                          </w:tc>
                        </w:tr>
                      </w:tbl>
                      <w:p w:rsidR="006C33C5" w:rsidRDefault="006C33C5" w:rsidP="006C33C5">
                        <w:pPr>
                          <w:rPr>
                            <w:rFonts w:eastAsia="Times New Roman"/>
                            <w:sz w:val="20"/>
                            <w:szCs w:val="20"/>
                          </w:rPr>
                        </w:pPr>
                      </w:p>
                    </w:tc>
                  </w:tr>
                </w:tbl>
                <w:p w:rsidR="006C33C5" w:rsidRDefault="006C33C5" w:rsidP="006C33C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345"/>
                  </w:tblGrid>
                  <w:tr w:rsidR="006C33C5" w:rsidTr="006C33C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345"/>
                        </w:tblGrid>
                        <w:tr w:rsidR="006C33C5">
                          <w:tc>
                            <w:tcPr>
                              <w:tcW w:w="0" w:type="auto"/>
                              <w:hideMark/>
                            </w:tcPr>
                            <w:tbl>
                              <w:tblPr>
                                <w:tblW w:w="5000" w:type="pct"/>
                                <w:jc w:val="center"/>
                                <w:tblLook w:val="04A0" w:firstRow="1" w:lastRow="0" w:firstColumn="1" w:lastColumn="0" w:noHBand="0" w:noVBand="1"/>
                              </w:tblPr>
                              <w:tblGrid>
                                <w:gridCol w:w="10345"/>
                              </w:tblGrid>
                              <w:tr w:rsidR="006C33C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724"/>
                                    </w:tblGrid>
                                    <w:tr w:rsidR="006C33C5">
                                      <w:trPr>
                                        <w:trHeight w:val="15"/>
                                        <w:jc w:val="center"/>
                                      </w:trPr>
                                      <w:tc>
                                        <w:tcPr>
                                          <w:tcW w:w="0" w:type="auto"/>
                                          <w:shd w:val="clear" w:color="auto" w:fill="000000"/>
                                          <w:tcMar>
                                            <w:top w:w="0" w:type="dxa"/>
                                            <w:left w:w="0" w:type="dxa"/>
                                            <w:bottom w:w="45" w:type="dxa"/>
                                            <w:right w:w="0" w:type="dxa"/>
                                          </w:tcMar>
                                          <w:vAlign w:val="center"/>
                                          <w:hideMark/>
                                        </w:tcPr>
                                        <w:p w:rsidR="006C33C5" w:rsidRDefault="006C33C5" w:rsidP="006C33C5">
                                          <w:pPr>
                                            <w:spacing w:line="15" w:lineRule="atLeast"/>
                                            <w:jc w:val="center"/>
                                            <w:rPr>
                                              <w:rFonts w:eastAsia="Times New Roman"/>
                                            </w:rPr>
                                          </w:pPr>
                                          <w:r>
                                            <w:rPr>
                                              <w:rFonts w:eastAsia="Times New Roman"/>
                                              <w:noProof/>
                                            </w:rPr>
                                            <w:drawing>
                                              <wp:inline distT="0" distB="0" distL="0" distR="0">
                                                <wp:extent cx="44450" cy="6350"/>
                                                <wp:effectExtent l="0" t="0" r="0" b="0"/>
                                                <wp:docPr id="3" name="Picture 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3C5" w:rsidRDefault="006C33C5" w:rsidP="006C33C5">
                                    <w:pPr>
                                      <w:jc w:val="center"/>
                                      <w:rPr>
                                        <w:rFonts w:eastAsia="Times New Roman"/>
                                        <w:sz w:val="20"/>
                                        <w:szCs w:val="20"/>
                                      </w:rPr>
                                    </w:pPr>
                                  </w:p>
                                </w:tc>
                              </w:tr>
                            </w:tbl>
                            <w:p w:rsidR="006C33C5" w:rsidRDefault="006C33C5" w:rsidP="006C33C5">
                              <w:pPr>
                                <w:jc w:val="center"/>
                                <w:rPr>
                                  <w:rFonts w:eastAsia="Times New Roman"/>
                                  <w:sz w:val="20"/>
                                  <w:szCs w:val="20"/>
                                </w:rPr>
                              </w:pPr>
                            </w:p>
                          </w:tc>
                        </w:tr>
                      </w:tbl>
                      <w:p w:rsidR="006C33C5" w:rsidRDefault="006C33C5" w:rsidP="006C33C5">
                        <w:pPr>
                          <w:rPr>
                            <w:rFonts w:eastAsia="Times New Roman"/>
                            <w:sz w:val="20"/>
                            <w:szCs w:val="20"/>
                          </w:rPr>
                        </w:pPr>
                      </w:p>
                    </w:tc>
                  </w:tr>
                </w:tbl>
                <w:p w:rsidR="006C33C5" w:rsidRDefault="006C33C5" w:rsidP="006C33C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345"/>
                  </w:tblGrid>
                  <w:tr w:rsidR="006C33C5" w:rsidTr="006C33C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345"/>
                        </w:tblGrid>
                        <w:tr w:rsidR="006C33C5">
                          <w:tc>
                            <w:tcPr>
                              <w:tcW w:w="0" w:type="auto"/>
                              <w:tcMar>
                                <w:top w:w="150" w:type="dxa"/>
                                <w:left w:w="300" w:type="dxa"/>
                                <w:bottom w:w="150" w:type="dxa"/>
                                <w:right w:w="300" w:type="dxa"/>
                              </w:tcMar>
                            </w:tcPr>
                            <w:p w:rsidR="006C33C5" w:rsidRDefault="006C33C5" w:rsidP="006C33C5">
                              <w:pPr>
                                <w:rPr>
                                  <w:rFonts w:ascii="Arial" w:eastAsia="Times New Roman" w:hAnsi="Arial" w:cs="Arial"/>
                                  <w:color w:val="000000"/>
                                  <w:sz w:val="18"/>
                                  <w:szCs w:val="18"/>
                                </w:rPr>
                              </w:pPr>
                              <w:r>
                                <w:rPr>
                                  <w:rFonts w:ascii="Arial" w:eastAsia="Times New Roman" w:hAnsi="Arial" w:cs="Arial"/>
                                  <w:b/>
                                  <w:bCs/>
                                  <w:color w:val="BF3F2F"/>
                                  <w:sz w:val="27"/>
                                  <w:szCs w:val="27"/>
                                </w:rPr>
                                <w:t xml:space="preserve">JANUARY NET TAX REVEUNUE UP 7.5% </w:t>
                              </w:r>
                            </w:p>
                            <w:p w:rsidR="006C33C5" w:rsidRDefault="006C33C5" w:rsidP="006C33C5">
                              <w:pPr>
                                <w:rPr>
                                  <w:rFonts w:ascii="Arial" w:eastAsia="Times New Roman" w:hAnsi="Arial" w:cs="Arial"/>
                                  <w:color w:val="000000"/>
                                  <w:sz w:val="18"/>
                                  <w:szCs w:val="18"/>
                                </w:rPr>
                              </w:pPr>
                              <w:r>
                                <w:rPr>
                                  <w:rFonts w:ascii="Arial" w:eastAsia="Times New Roman" w:hAnsi="Arial" w:cs="Arial"/>
                                  <w:b/>
                                  <w:bCs/>
                                  <w:color w:val="000000"/>
                                </w:rPr>
                                <w:t>Atlanta, GA</w:t>
                              </w:r>
                              <w:r>
                                <w:rPr>
                                  <w:rFonts w:ascii="Arial" w:eastAsia="Times New Roman" w:hAnsi="Arial" w:cs="Arial"/>
                                  <w:color w:val="000000"/>
                                </w:rPr>
                                <w:t xml:space="preserve"> - The State of Georgia's net tax collections for January totaled $2.53 billion, for an increase of $175.6 million, or 7.5 percent, compared to January 2020, when net tax collections approached $2.36 billion. Year-to-date net tax collections totaled $15.10 billion, for an increase of $898.1 million, or 6.3 percent, compared to the previous fiscal year, when net tax revenues totaled almost $14.21 billion.</w:t>
                              </w:r>
                              <w:r>
                                <w:rPr>
                                  <w:rFonts w:ascii="Arial" w:eastAsia="Times New Roman" w:hAnsi="Arial" w:cs="Arial"/>
                                  <w:color w:val="000000"/>
                                  <w:sz w:val="18"/>
                                  <w:szCs w:val="18"/>
                                </w:rPr>
                                <w:t xml:space="preserve"> </w:t>
                              </w:r>
                            </w:p>
                            <w:p w:rsidR="006C33C5" w:rsidRDefault="006C33C5" w:rsidP="006C33C5">
                              <w:pPr>
                                <w:rPr>
                                  <w:rFonts w:ascii="Arial" w:eastAsia="Times New Roman" w:hAnsi="Arial" w:cs="Arial"/>
                                  <w:color w:val="000000"/>
                                  <w:sz w:val="18"/>
                                  <w:szCs w:val="18"/>
                                </w:rPr>
                              </w:pPr>
                            </w:p>
                            <w:p w:rsidR="006C33C5" w:rsidRDefault="006C33C5" w:rsidP="006C33C5">
                              <w:pPr>
                                <w:jc w:val="both"/>
                                <w:rPr>
                                  <w:rFonts w:ascii="Arial" w:eastAsia="Times New Roman" w:hAnsi="Arial" w:cs="Arial"/>
                                  <w:color w:val="000000"/>
                                  <w:sz w:val="18"/>
                                  <w:szCs w:val="18"/>
                                </w:rPr>
                              </w:pPr>
                              <w:r>
                                <w:rPr>
                                  <w:rFonts w:ascii="Arial" w:eastAsia="Times New Roman" w:hAnsi="Arial" w:cs="Arial"/>
                                  <w:color w:val="000000"/>
                                </w:rPr>
                                <w:t>The changes within the following tax categories help further explain January's overall net tax revenue increase:</w:t>
                              </w:r>
                            </w:p>
                            <w:p w:rsidR="006C33C5" w:rsidRDefault="006C33C5" w:rsidP="006C33C5">
                              <w:pPr>
                                <w:jc w:val="both"/>
                                <w:rPr>
                                  <w:rFonts w:ascii="Arial" w:eastAsia="Times New Roman" w:hAnsi="Arial" w:cs="Arial"/>
                                  <w:color w:val="000000"/>
                                  <w:sz w:val="18"/>
                                  <w:szCs w:val="18"/>
                                </w:rPr>
                              </w:pPr>
                            </w:p>
                            <w:p w:rsidR="006C33C5" w:rsidRDefault="006C33C5" w:rsidP="006C33C5">
                              <w:pPr>
                                <w:jc w:val="both"/>
                                <w:rPr>
                                  <w:rFonts w:ascii="Arial" w:eastAsia="Times New Roman" w:hAnsi="Arial" w:cs="Arial"/>
                                  <w:color w:val="000000"/>
                                  <w:sz w:val="18"/>
                                  <w:szCs w:val="18"/>
                                </w:rPr>
                              </w:pPr>
                              <w:r>
                                <w:rPr>
                                  <w:rFonts w:ascii="Arial" w:eastAsia="Times New Roman" w:hAnsi="Arial" w:cs="Arial"/>
                                  <w:b/>
                                  <w:bCs/>
                                  <w:color w:val="000000"/>
                                </w:rPr>
                                <w:t xml:space="preserve">Individual Income Tax: </w:t>
                              </w:r>
                              <w:r>
                                <w:rPr>
                                  <w:rFonts w:ascii="Arial" w:eastAsia="Times New Roman" w:hAnsi="Arial" w:cs="Arial"/>
                                  <w:color w:val="000000"/>
                                </w:rPr>
                                <w:t>Individual Income Tax collections increased by a total of $85.7 million, or 6.3 percent, compared to last year when Income Tax collections totaled $1.35 billion. The following notable components within Individual Income Tax combine for the net increase. Individual Income Tax refunds issued (net of voided checks) declined by $29.7 million, or -40.8 percent. Individual Withholding payments for the month increased by $8.9 million, or 0.8 percent. Individual Income Tax Estimated payments were up $25.6 million, or 11 percent, over FY 2020. All other Individual Tax categories, including Tax Return payments, were up a combined $21.5 million.</w:t>
                              </w:r>
                              <w:r>
                                <w:rPr>
                                  <w:rFonts w:ascii="Arial" w:eastAsia="Times New Roman" w:hAnsi="Arial" w:cs="Arial"/>
                                  <w:color w:val="000000"/>
                                  <w:sz w:val="18"/>
                                  <w:szCs w:val="18"/>
                                </w:rPr>
                                <w:t xml:space="preserve"> </w:t>
                              </w:r>
                            </w:p>
                            <w:p w:rsidR="006C33C5" w:rsidRDefault="006C33C5" w:rsidP="006C33C5">
                              <w:pPr>
                                <w:jc w:val="both"/>
                                <w:rPr>
                                  <w:rFonts w:ascii="Arial" w:eastAsia="Times New Roman" w:hAnsi="Arial" w:cs="Arial"/>
                                  <w:color w:val="000000"/>
                                  <w:sz w:val="18"/>
                                  <w:szCs w:val="18"/>
                                </w:rPr>
                              </w:pPr>
                              <w:r>
                                <w:rPr>
                                  <w:rFonts w:ascii="Arial" w:eastAsia="Times New Roman" w:hAnsi="Arial" w:cs="Arial"/>
                                  <w:b/>
                                  <w:bCs/>
                                  <w:color w:val="000000"/>
                                </w:rPr>
                                <w:t>Sales and Use Tax:</w:t>
                              </w:r>
                              <w:r>
                                <w:rPr>
                                  <w:rFonts w:ascii="Arial" w:eastAsia="Times New Roman" w:hAnsi="Arial" w:cs="Arial"/>
                                  <w:color w:val="000000"/>
                                </w:rPr>
                                <w:t xml:space="preserve"> Gross Sales and Use Tax collections for the month totaled $1.35 billion, for an increase of $108.9 million, or 8.8 percent, over January 2020. Net Sales and Use Tax increased by $63.8 million, or 10.2 percent, over FY 2020 when net sales tax totaled $626.7 million. The adjusted Sales Tax distribution to local governments totaled $657.4 million, for an increase of $49.5 million, or 8.1 percent, compared to the previous year. Lastly, Sales Tax refunds decreased by nearly $4.4 million, or -54.1 percent, compared to FY 2020.</w:t>
                              </w:r>
                              <w:r>
                                <w:rPr>
                                  <w:rFonts w:ascii="Arial" w:eastAsia="Times New Roman" w:hAnsi="Arial" w:cs="Arial"/>
                                  <w:color w:val="000000"/>
                                  <w:sz w:val="18"/>
                                  <w:szCs w:val="18"/>
                                </w:rPr>
                                <w:t xml:space="preserve"> </w:t>
                              </w:r>
                            </w:p>
                            <w:p w:rsidR="006C33C5" w:rsidRDefault="006C33C5" w:rsidP="006C33C5">
                              <w:pPr>
                                <w:jc w:val="both"/>
                                <w:rPr>
                                  <w:rFonts w:ascii="Arial" w:eastAsia="Times New Roman" w:hAnsi="Arial" w:cs="Arial"/>
                                  <w:color w:val="000000"/>
                                  <w:sz w:val="18"/>
                                  <w:szCs w:val="18"/>
                                </w:rPr>
                              </w:pPr>
                              <w:r>
                                <w:rPr>
                                  <w:rFonts w:ascii="Arial" w:eastAsia="Times New Roman" w:hAnsi="Arial" w:cs="Arial"/>
                                  <w:b/>
                                  <w:bCs/>
                                  <w:color w:val="000000"/>
                                </w:rPr>
                                <w:t>Corporate Income Tax:</w:t>
                              </w:r>
                              <w:r>
                                <w:rPr>
                                  <w:rFonts w:ascii="Arial" w:eastAsia="Times New Roman" w:hAnsi="Arial" w:cs="Arial"/>
                                  <w:color w:val="000000"/>
                                </w:rPr>
                                <w:t xml:space="preserve"> Corporate Income Tax collections during the month totaled $75.7 million for an increase of $25.6 million, or 51.2 percent, over FY 2020 when Corporate Tax collections totaled $50.1 million. The following notable components within Corporate Income Tax make up the net increase. Corporate Income Tax refunds issued (net of voids) were down $17 million, or -60.1 percent. Corporate Income Tax Estimated payments for the month increased by $16 million, or 45.1 percent. All other Corporate Tax types, including Tax Return payments, were down a combined $7.4 million.</w:t>
                              </w:r>
                              <w:r>
                                <w:rPr>
                                  <w:rFonts w:ascii="Arial" w:eastAsia="Times New Roman" w:hAnsi="Arial" w:cs="Arial"/>
                                  <w:color w:val="000000"/>
                                  <w:sz w:val="18"/>
                                  <w:szCs w:val="18"/>
                                </w:rPr>
                                <w:t xml:space="preserve"> </w:t>
                              </w:r>
                            </w:p>
                            <w:p w:rsidR="006C33C5" w:rsidRDefault="006C33C5" w:rsidP="006C33C5">
                              <w:pPr>
                                <w:jc w:val="both"/>
                                <w:rPr>
                                  <w:rFonts w:ascii="Arial" w:eastAsia="Times New Roman" w:hAnsi="Arial" w:cs="Arial"/>
                                  <w:color w:val="000000"/>
                                  <w:sz w:val="18"/>
                                  <w:szCs w:val="18"/>
                                </w:rPr>
                              </w:pPr>
                              <w:r>
                                <w:rPr>
                                  <w:rFonts w:ascii="Arial" w:eastAsia="Times New Roman" w:hAnsi="Arial" w:cs="Arial"/>
                                  <w:b/>
                                  <w:bCs/>
                                  <w:color w:val="000000"/>
                                </w:rPr>
                                <w:t>Motor Fuel Taxes:</w:t>
                              </w:r>
                              <w:r>
                                <w:rPr>
                                  <w:rFonts w:ascii="Arial" w:eastAsia="Times New Roman" w:hAnsi="Arial" w:cs="Arial"/>
                                  <w:color w:val="000000"/>
                                </w:rPr>
                                <w:t xml:space="preserve"> Motor Fuel Tax collections increased by $2 million, or 1.3 percent, compared to FY 2020.</w:t>
                              </w:r>
                              <w:r>
                                <w:rPr>
                                  <w:rFonts w:ascii="Arial" w:eastAsia="Times New Roman" w:hAnsi="Arial" w:cs="Arial"/>
                                  <w:color w:val="000000"/>
                                  <w:sz w:val="18"/>
                                  <w:szCs w:val="18"/>
                                </w:rPr>
                                <w:t xml:space="preserve"> </w:t>
                              </w:r>
                            </w:p>
                            <w:p w:rsidR="006C33C5" w:rsidRDefault="006C33C5" w:rsidP="006C33C5">
                              <w:pPr>
                                <w:jc w:val="both"/>
                                <w:rPr>
                                  <w:rFonts w:ascii="Arial" w:eastAsia="Times New Roman" w:hAnsi="Arial" w:cs="Arial"/>
                                  <w:color w:val="000000"/>
                                  <w:sz w:val="18"/>
                                  <w:szCs w:val="18"/>
                                </w:rPr>
                              </w:pPr>
                              <w:r>
                                <w:rPr>
                                  <w:rFonts w:ascii="Arial" w:eastAsia="Times New Roman" w:hAnsi="Arial" w:cs="Arial"/>
                                  <w:b/>
                                  <w:bCs/>
                                  <w:color w:val="000000"/>
                                </w:rPr>
                                <w:t xml:space="preserve">Motor Vehicle - Tag &amp; Title Fees: </w:t>
                              </w:r>
                              <w:r>
                                <w:rPr>
                                  <w:rFonts w:ascii="Arial" w:eastAsia="Times New Roman" w:hAnsi="Arial" w:cs="Arial"/>
                                  <w:color w:val="000000"/>
                                </w:rPr>
                                <w:t xml:space="preserve">Motor Vehicle Tag &amp; Title Fees in January decreased by $8.7 million, or -21.6 percent, whereas Title Ad Valorem Tax (TAVT) collections increased by $5.4 million, or 10.1 percent, compared to last </w:t>
                              </w:r>
                              <w:proofErr w:type="gramStart"/>
                              <w:r>
                                <w:rPr>
                                  <w:rFonts w:ascii="Arial" w:eastAsia="Times New Roman" w:hAnsi="Arial" w:cs="Arial"/>
                                  <w:color w:val="000000"/>
                                </w:rPr>
                                <w:t>year's</w:t>
                              </w:r>
                              <w:proofErr w:type="gramEnd"/>
                              <w:r>
                                <w:rPr>
                                  <w:rFonts w:ascii="Arial" w:eastAsia="Times New Roman" w:hAnsi="Arial" w:cs="Arial"/>
                                  <w:color w:val="000000"/>
                                </w:rPr>
                                <w:t xml:space="preserve"> total of $53.5 million.</w:t>
                              </w:r>
                              <w:r>
                                <w:rPr>
                                  <w:rFonts w:ascii="Arial" w:eastAsia="Times New Roman" w:hAnsi="Arial" w:cs="Arial"/>
                                  <w:color w:val="000000"/>
                                  <w:sz w:val="18"/>
                                  <w:szCs w:val="18"/>
                                </w:rPr>
                                <w:t xml:space="preserve"> </w:t>
                              </w:r>
                            </w:p>
                          </w:tc>
                        </w:tr>
                      </w:tbl>
                      <w:p w:rsidR="006C33C5" w:rsidRDefault="006C33C5" w:rsidP="006C33C5">
                        <w:pPr>
                          <w:rPr>
                            <w:rFonts w:eastAsia="Times New Roman"/>
                            <w:sz w:val="20"/>
                            <w:szCs w:val="20"/>
                          </w:rPr>
                        </w:pPr>
                      </w:p>
                    </w:tc>
                  </w:tr>
                </w:tbl>
                <w:p w:rsidR="006C33C5" w:rsidRDefault="006C33C5" w:rsidP="006C33C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345"/>
                  </w:tblGrid>
                  <w:tr w:rsidR="006C33C5" w:rsidTr="006C33C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345"/>
                        </w:tblGrid>
                        <w:tr w:rsidR="006C33C5">
                          <w:tc>
                            <w:tcPr>
                              <w:tcW w:w="0" w:type="auto"/>
                              <w:hideMark/>
                            </w:tcPr>
                            <w:tbl>
                              <w:tblPr>
                                <w:tblW w:w="5000" w:type="pct"/>
                                <w:jc w:val="center"/>
                                <w:tblLook w:val="04A0" w:firstRow="1" w:lastRow="0" w:firstColumn="1" w:lastColumn="0" w:noHBand="0" w:noVBand="1"/>
                              </w:tblPr>
                              <w:tblGrid>
                                <w:gridCol w:w="10345"/>
                              </w:tblGrid>
                              <w:tr w:rsidR="006C33C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724"/>
                                    </w:tblGrid>
                                    <w:tr w:rsidR="006C33C5">
                                      <w:trPr>
                                        <w:trHeight w:val="15"/>
                                        <w:jc w:val="center"/>
                                      </w:trPr>
                                      <w:tc>
                                        <w:tcPr>
                                          <w:tcW w:w="0" w:type="auto"/>
                                          <w:shd w:val="clear" w:color="auto" w:fill="000000"/>
                                          <w:tcMar>
                                            <w:top w:w="0" w:type="dxa"/>
                                            <w:left w:w="0" w:type="dxa"/>
                                            <w:bottom w:w="30" w:type="dxa"/>
                                            <w:right w:w="0" w:type="dxa"/>
                                          </w:tcMar>
                                          <w:vAlign w:val="center"/>
                                          <w:hideMark/>
                                        </w:tcPr>
                                        <w:p w:rsidR="006C33C5" w:rsidRDefault="006C33C5" w:rsidP="006C33C5">
                                          <w:pPr>
                                            <w:spacing w:line="15" w:lineRule="atLeast"/>
                                            <w:jc w:val="center"/>
                                            <w:rPr>
                                              <w:rFonts w:eastAsia="Times New Roman"/>
                                            </w:rPr>
                                          </w:pPr>
                                          <w:r>
                                            <w:rPr>
                                              <w:rFonts w:eastAsia="Times New Roman"/>
                                              <w:noProof/>
                                            </w:rPr>
                                            <w:drawing>
                                              <wp:inline distT="0" distB="0" distL="0" distR="0">
                                                <wp:extent cx="44450" cy="6350"/>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3C5" w:rsidRDefault="006C33C5" w:rsidP="006C33C5">
                                    <w:pPr>
                                      <w:jc w:val="center"/>
                                      <w:rPr>
                                        <w:rFonts w:eastAsia="Times New Roman"/>
                                        <w:sz w:val="20"/>
                                        <w:szCs w:val="20"/>
                                      </w:rPr>
                                    </w:pPr>
                                  </w:p>
                                </w:tc>
                              </w:tr>
                            </w:tbl>
                            <w:p w:rsidR="006C33C5" w:rsidRDefault="006C33C5" w:rsidP="006C33C5">
                              <w:pPr>
                                <w:jc w:val="center"/>
                                <w:rPr>
                                  <w:rFonts w:eastAsia="Times New Roman"/>
                                  <w:sz w:val="20"/>
                                  <w:szCs w:val="20"/>
                                </w:rPr>
                              </w:pPr>
                            </w:p>
                          </w:tc>
                        </w:tr>
                      </w:tbl>
                      <w:p w:rsidR="006C33C5" w:rsidRDefault="006C33C5" w:rsidP="006C33C5">
                        <w:pPr>
                          <w:rPr>
                            <w:rFonts w:eastAsia="Times New Roman"/>
                            <w:sz w:val="20"/>
                            <w:szCs w:val="20"/>
                          </w:rPr>
                        </w:pPr>
                      </w:p>
                    </w:tc>
                  </w:tr>
                </w:tbl>
                <w:p w:rsidR="006C33C5" w:rsidRDefault="006C33C5" w:rsidP="006C33C5">
                  <w:pPr>
                    <w:ind w:left="-300"/>
                    <w:rPr>
                      <w:rFonts w:ascii="Arial" w:eastAsia="Times New Roman"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10345"/>
                  </w:tblGrid>
                  <w:tr w:rsidR="006C33C5" w:rsidTr="00654BC3">
                    <w:tc>
                      <w:tcPr>
                        <w:tcW w:w="0" w:type="auto"/>
                        <w:tcMar>
                          <w:top w:w="150" w:type="dxa"/>
                          <w:left w:w="300" w:type="dxa"/>
                          <w:bottom w:w="150" w:type="dxa"/>
                          <w:right w:w="300" w:type="dxa"/>
                        </w:tcMar>
                        <w:hideMark/>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0"/>
                        </w:tblGrid>
                        <w:tr w:rsidR="006C33C5">
                          <w:trPr>
                            <w:trHeight w:val="15"/>
                          </w:trPr>
                          <w:tc>
                            <w:tcPr>
                              <w:tcW w:w="225" w:type="dxa"/>
                              <w:hideMark/>
                            </w:tcPr>
                            <w:p w:rsidR="006C33C5" w:rsidRDefault="006C33C5" w:rsidP="006C33C5">
                              <w:pPr>
                                <w:spacing w:line="15" w:lineRule="atLeast"/>
                                <w:jc w:val="center"/>
                                <w:rPr>
                                  <w:rFonts w:eastAsia="Times New Roman"/>
                                </w:rPr>
                              </w:pPr>
                              <w:r>
                                <w:rPr>
                                  <w:rFonts w:eastAsia="Times New Roman"/>
                                  <w:noProof/>
                                </w:rPr>
                                <w:drawing>
                                  <wp:inline distT="0" distB="0" distL="0" distR="0">
                                    <wp:extent cx="139700" cy="6350"/>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rsidR="006C33C5" w:rsidRDefault="006C33C5" w:rsidP="00654BC3">
                              <w:pPr>
                                <w:ind w:left="4610" w:right="-5420" w:hanging="4610"/>
                                <w:jc w:val="center"/>
                                <w:rPr>
                                  <w:rFonts w:eastAsia="Times New Roman"/>
                                </w:rPr>
                              </w:pPr>
                            </w:p>
                          </w:tc>
                        </w:tr>
                        <w:tr w:rsidR="006C33C5">
                          <w:trPr>
                            <w:trHeight w:val="75"/>
                          </w:trPr>
                          <w:tc>
                            <w:tcPr>
                              <w:tcW w:w="75" w:type="dxa"/>
                              <w:hideMark/>
                            </w:tcPr>
                            <w:p w:rsidR="006C33C5" w:rsidRDefault="006C33C5" w:rsidP="006C33C5">
                              <w:pPr>
                                <w:spacing w:line="15" w:lineRule="atLeast"/>
                                <w:jc w:val="center"/>
                                <w:rPr>
                                  <w:rFonts w:eastAsia="Times New Roman"/>
                                </w:rPr>
                              </w:pPr>
                              <w:r>
                                <w:rPr>
                                  <w:rFonts w:eastAsia="Times New Roman"/>
                                  <w:noProof/>
                                </w:rPr>
                                <w:drawing>
                                  <wp:inline distT="0" distB="0" distL="0" distR="0">
                                    <wp:extent cx="44450" cy="6350"/>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6C33C5" w:rsidRDefault="006C33C5" w:rsidP="006C33C5">
                              <w:pPr>
                                <w:spacing w:line="15" w:lineRule="atLeast"/>
                                <w:jc w:val="center"/>
                                <w:rPr>
                                  <w:rFonts w:eastAsia="Times New Roman"/>
                                </w:rPr>
                              </w:pPr>
                              <w:r>
                                <w:rPr>
                                  <w:rFonts w:eastAsia="Times New Roman"/>
                                  <w:noProof/>
                                </w:rPr>
                                <w:drawing>
                                  <wp:inline distT="0" distB="0" distL="0" distR="0">
                                    <wp:extent cx="6350" cy="44450"/>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6C33C5" w:rsidRDefault="006C33C5" w:rsidP="006C33C5">
                        <w:pPr>
                          <w:rPr>
                            <w:rFonts w:ascii="Arial" w:eastAsia="Times New Roman" w:hAnsi="Arial" w:cs="Arial"/>
                            <w:color w:val="000000"/>
                            <w:sz w:val="18"/>
                            <w:szCs w:val="18"/>
                          </w:rPr>
                        </w:pPr>
                        <w:r>
                          <w:rPr>
                            <w:rFonts w:ascii="Arial" w:eastAsia="Times New Roman" w:hAnsi="Arial" w:cs="Arial"/>
                            <w:b/>
                            <w:bCs/>
                            <w:color w:val="BF3F2F"/>
                            <w:sz w:val="27"/>
                            <w:szCs w:val="27"/>
                          </w:rPr>
                          <w:t>GEORGIA EMC</w:t>
                        </w:r>
                        <w:r w:rsidR="00955E0A">
                          <w:rPr>
                            <w:rFonts w:ascii="Arial" w:eastAsia="Times New Roman" w:hAnsi="Arial" w:cs="Arial"/>
                            <w:b/>
                            <w:bCs/>
                            <w:color w:val="BF3F2F"/>
                            <w:sz w:val="27"/>
                            <w:szCs w:val="27"/>
                          </w:rPr>
                          <w:t>s</w:t>
                        </w:r>
                        <w:r>
                          <w:rPr>
                            <w:rFonts w:ascii="Arial" w:eastAsia="Times New Roman" w:hAnsi="Arial" w:cs="Arial"/>
                            <w:b/>
                            <w:bCs/>
                            <w:color w:val="BF3F2F"/>
                            <w:sz w:val="27"/>
                            <w:szCs w:val="27"/>
                          </w:rPr>
                          <w:t xml:space="preserve"> HOST RURAL CAUCUS</w:t>
                        </w:r>
                      </w:p>
                      <w:p w:rsidR="006C33C5" w:rsidRDefault="00955E0A" w:rsidP="006C33C5">
                        <w:pPr>
                          <w:rPr>
                            <w:rFonts w:ascii="Arial" w:eastAsia="Times New Roman" w:hAnsi="Arial" w:cs="Arial"/>
                            <w:color w:val="000000"/>
                          </w:rPr>
                        </w:pPr>
                        <w:r>
                          <w:rPr>
                            <w:rFonts w:ascii="Arial" w:eastAsia="Times New Roman" w:hAnsi="Arial" w:cs="Arial"/>
                            <w:color w:val="000000"/>
                          </w:rPr>
                          <w:t>Georgia EMC</w:t>
                        </w:r>
                        <w:r w:rsidR="006C33C5">
                          <w:rPr>
                            <w:rFonts w:ascii="Arial" w:eastAsia="Times New Roman" w:hAnsi="Arial" w:cs="Arial"/>
                            <w:color w:val="000000"/>
                          </w:rPr>
                          <w:t xml:space="preserve">s hosted the Rural Caucus luncheon this week. Georgia Agribusiness Council board member </w:t>
                        </w:r>
                        <w:r w:rsidR="006C33C5">
                          <w:rPr>
                            <w:rFonts w:ascii="Arial" w:eastAsia="Times New Roman" w:hAnsi="Arial" w:cs="Arial"/>
                            <w:b/>
                            <w:bCs/>
                            <w:color w:val="000000"/>
                          </w:rPr>
                          <w:t xml:space="preserve">Jason </w:t>
                        </w:r>
                        <w:proofErr w:type="gramStart"/>
                        <w:r w:rsidR="006C33C5">
                          <w:rPr>
                            <w:rFonts w:ascii="Arial" w:eastAsia="Times New Roman" w:hAnsi="Arial" w:cs="Arial"/>
                            <w:b/>
                            <w:bCs/>
                            <w:color w:val="000000"/>
                          </w:rPr>
                          <w:t>Bragg</w:t>
                        </w:r>
                        <w:r w:rsidR="006C33C5">
                          <w:rPr>
                            <w:rFonts w:ascii="Arial" w:eastAsia="Times New Roman" w:hAnsi="Arial" w:cs="Arial"/>
                            <w:color w:val="000000"/>
                          </w:rPr>
                          <w:t>,</w:t>
                        </w:r>
                        <w:proofErr w:type="gramEnd"/>
                        <w:r w:rsidR="006C33C5">
                          <w:rPr>
                            <w:rFonts w:ascii="Arial" w:eastAsia="Times New Roman" w:hAnsi="Arial" w:cs="Arial"/>
                            <w:color w:val="000000"/>
                          </w:rPr>
                          <w:t xml:space="preserve"> presented on behalf of EMC and their local EMC members across the state. He informed rural legislators about the ongoing efforts in Georgia for rural broadband, solar energy, and other </w:t>
                        </w:r>
                        <w:proofErr w:type="gramStart"/>
                        <w:r w:rsidR="006C33C5">
                          <w:rPr>
                            <w:rFonts w:ascii="Arial" w:eastAsia="Times New Roman" w:hAnsi="Arial" w:cs="Arial"/>
                            <w:color w:val="000000"/>
                          </w:rPr>
                          <w:t>cutting edge</w:t>
                        </w:r>
                        <w:proofErr w:type="gramEnd"/>
                        <w:r w:rsidR="006C33C5">
                          <w:rPr>
                            <w:rFonts w:ascii="Arial" w:eastAsia="Times New Roman" w:hAnsi="Arial" w:cs="Arial"/>
                            <w:color w:val="000000"/>
                          </w:rPr>
                          <w:t xml:space="preserve"> technologies aimed at lowering energy costs to rural Georgians. </w:t>
                        </w:r>
                      </w:p>
                      <w:p w:rsidR="00955E0A" w:rsidRDefault="00955E0A" w:rsidP="00955E0A">
                        <w:pPr>
                          <w:ind w:right="-720"/>
                          <w:rPr>
                            <w:rFonts w:ascii="Arial" w:eastAsia="Times New Roman" w:hAnsi="Arial" w:cs="Arial"/>
                            <w:color w:val="000000"/>
                          </w:rPr>
                        </w:pPr>
                      </w:p>
                      <w:p w:rsidR="006C33C5" w:rsidRDefault="006C33C5" w:rsidP="006C33C5">
                        <w:pPr>
                          <w:rPr>
                            <w:rFonts w:ascii="Arial" w:eastAsia="Times New Roman" w:hAnsi="Arial" w:cs="Arial"/>
                            <w:color w:val="000000"/>
                            <w:sz w:val="18"/>
                            <w:szCs w:val="18"/>
                          </w:rPr>
                        </w:pPr>
                        <w:r>
                          <w:rPr>
                            <w:rFonts w:ascii="Arial" w:eastAsia="Times New Roman" w:hAnsi="Arial" w:cs="Arial"/>
                            <w:b/>
                            <w:bCs/>
                            <w:color w:val="BF3F2F"/>
                            <w:sz w:val="27"/>
                            <w:szCs w:val="27"/>
                          </w:rPr>
                          <w:t>APPROPRIATIONS GENERAL GOVERNMENT SUBCOMMITTEE SUMMARY</w:t>
                        </w:r>
                      </w:p>
                      <w:p w:rsidR="00955E0A" w:rsidRDefault="00955E0A" w:rsidP="00955E0A">
                        <w:pPr>
                          <w:rPr>
                            <w:rFonts w:ascii="Arial" w:eastAsia="Times New Roman" w:hAnsi="Arial" w:cs="Arial"/>
                            <w:color w:val="000000"/>
                          </w:rPr>
                        </w:pPr>
                        <w:r>
                          <w:rPr>
                            <w:rFonts w:ascii="Arial" w:eastAsia="Times New Roman" w:hAnsi="Arial" w:cs="Arial"/>
                            <w:color w:val="000000"/>
                          </w:rPr>
                          <w:t xml:space="preserve">During this week at the capitol, the Appropriations General Government Subcommittee convened to discuss the 2022 fiscal year budget for the Department of Natural Resources (DNR) and Georgia Outdoor Stewardship Program projects. </w:t>
                        </w:r>
                        <w:r>
                          <w:rPr>
                            <w:rFonts w:ascii="Arial" w:eastAsia="Times New Roman" w:hAnsi="Arial" w:cs="Arial"/>
                            <w:b/>
                            <w:bCs/>
                            <w:color w:val="000000"/>
                          </w:rPr>
                          <w:t>DNR Commissioner, Mark Williams</w:t>
                        </w:r>
                        <w:r>
                          <w:rPr>
                            <w:rFonts w:ascii="Arial" w:eastAsia="Times New Roman" w:hAnsi="Arial" w:cs="Arial"/>
                            <w:color w:val="000000"/>
                          </w:rPr>
                          <w:t xml:space="preserve">, relayed that the largest amendment to the budget was a $4 million increase in funds to the Georgia Outdoor Stewardship Program. The program was established in </w:t>
                        </w:r>
                        <w:proofErr w:type="gramStart"/>
                        <w:r>
                          <w:rPr>
                            <w:rFonts w:ascii="Arial" w:eastAsia="Times New Roman" w:hAnsi="Arial" w:cs="Arial"/>
                            <w:color w:val="000000"/>
                          </w:rPr>
                          <w:t>2018 and became effective in 2019</w:t>
                        </w:r>
                        <w:proofErr w:type="gramEnd"/>
                        <w:r>
                          <w:rPr>
                            <w:rFonts w:ascii="Arial" w:eastAsia="Times New Roman" w:hAnsi="Arial" w:cs="Arial"/>
                            <w:color w:val="000000"/>
                          </w:rPr>
                          <w:t xml:space="preserve"> and will provide specified funding to support parks to protect and acquire lands critical to wildlife, clean water, and outdoor recreation across the state of Georgia. </w:t>
                        </w:r>
                        <w:r>
                          <w:rPr>
                            <w:rFonts w:ascii="Arial" w:eastAsia="Times New Roman" w:hAnsi="Arial" w:cs="Arial"/>
                            <w:b/>
                            <w:bCs/>
                            <w:color w:val="000000"/>
                          </w:rPr>
                          <w:t>Chairman of Appropriations General Government Subcommittee</w:t>
                        </w:r>
                        <w:r>
                          <w:rPr>
                            <w:rFonts w:ascii="Arial" w:eastAsia="Times New Roman" w:hAnsi="Arial" w:cs="Arial"/>
                            <w:color w:val="000000"/>
                          </w:rPr>
                          <w:t xml:space="preserve">, </w:t>
                        </w:r>
                        <w:r>
                          <w:rPr>
                            <w:rFonts w:ascii="Arial" w:eastAsia="Times New Roman" w:hAnsi="Arial" w:cs="Arial"/>
                            <w:b/>
                            <w:bCs/>
                            <w:color w:val="000000"/>
                          </w:rPr>
                          <w:t>Sam Watson</w:t>
                        </w:r>
                        <w:r>
                          <w:rPr>
                            <w:rFonts w:ascii="Arial" w:eastAsia="Times New Roman" w:hAnsi="Arial" w:cs="Arial"/>
                            <w:color w:val="000000"/>
                          </w:rPr>
                          <w:t>, along with the rest of the subcommittee approved the amended budget.</w:t>
                        </w:r>
                      </w:p>
                      <w:p w:rsidR="00955E0A" w:rsidRDefault="00955E0A" w:rsidP="00955E0A"/>
                      <w:p w:rsidR="00654BC3" w:rsidRPr="00DB3918" w:rsidRDefault="00654BC3" w:rsidP="00654BC3">
                        <w:pPr>
                          <w:rPr>
                            <w:rFonts w:ascii="Arial" w:hAnsi="Arial" w:cs="Arial"/>
                            <w:b/>
                          </w:rPr>
                        </w:pPr>
                        <w:r w:rsidRPr="00DB3918">
                          <w:rPr>
                            <w:rFonts w:ascii="Arial" w:hAnsi="Arial" w:cs="Arial"/>
                            <w:b/>
                            <w:highlight w:val="yellow"/>
                          </w:rPr>
                          <w:t xml:space="preserve">There were no new bills </w:t>
                        </w:r>
                        <w:r>
                          <w:rPr>
                            <w:rFonts w:ascii="Arial" w:hAnsi="Arial" w:cs="Arial"/>
                            <w:b/>
                            <w:highlight w:val="yellow"/>
                          </w:rPr>
                          <w:t xml:space="preserve">of interest to the veterinary community </w:t>
                        </w:r>
                        <w:r w:rsidRPr="00DB3918">
                          <w:rPr>
                            <w:rFonts w:ascii="Arial" w:hAnsi="Arial" w:cs="Arial"/>
                            <w:b/>
                            <w:highlight w:val="yellow"/>
                          </w:rPr>
                          <w:t>brought forward this week.</w:t>
                        </w:r>
                      </w:p>
                      <w:p w:rsidR="00654BC3" w:rsidRPr="003F4DB1" w:rsidRDefault="00654BC3" w:rsidP="00654BC3">
                        <w:pPr>
                          <w:rPr>
                            <w:rFonts w:ascii="Arial" w:eastAsia="Times New Roman" w:hAnsi="Arial" w:cs="Arial"/>
                            <w:color w:val="000000"/>
                          </w:rPr>
                        </w:pPr>
                        <w:r w:rsidRPr="003F4DB1">
                          <w:rPr>
                            <w:rFonts w:ascii="Arial" w:eastAsia="Times New Roman" w:hAnsi="Arial" w:cs="Arial"/>
                            <w:b/>
                            <w:bCs/>
                            <w:color w:val="0D4F1D"/>
                            <w:u w:val="single"/>
                          </w:rPr>
                          <w:t>SENATE BILLS</w:t>
                        </w:r>
                      </w:p>
                      <w:p w:rsidR="00654BC3" w:rsidRPr="003F4DB1" w:rsidRDefault="00654BC3" w:rsidP="00654BC3">
                        <w:pPr>
                          <w:rPr>
                            <w:rFonts w:ascii="Arial" w:eastAsia="Times New Roman" w:hAnsi="Arial" w:cs="Arial"/>
                            <w:color w:val="000000"/>
                          </w:rPr>
                        </w:pPr>
                        <w:hyperlink r:id="rId9" w:tgtFrame="_blank" w:history="1">
                          <w:r w:rsidRPr="003F4DB1">
                            <w:rPr>
                              <w:rStyle w:val="Hyperlink"/>
                              <w:rFonts w:ascii="Arial" w:eastAsia="Times New Roman" w:hAnsi="Arial" w:cs="Arial"/>
                              <w:b/>
                              <w:bCs/>
                            </w:rPr>
                            <w:t>SB 29</w:t>
                          </w:r>
                        </w:hyperlink>
                        <w:r w:rsidRPr="003F4DB1">
                          <w:rPr>
                            <w:rFonts w:ascii="Arial" w:eastAsia="Times New Roman" w:hAnsi="Arial" w:cs="Arial"/>
                            <w:color w:val="BF3F2F"/>
                          </w:rPr>
                          <w:t>:</w:t>
                        </w:r>
                        <w:r w:rsidRPr="003F4DB1">
                          <w:rPr>
                            <w:rFonts w:ascii="Arial" w:eastAsia="Times New Roman" w:hAnsi="Arial" w:cs="Arial"/>
                            <w:color w:val="000000"/>
                          </w:rPr>
                          <w:t xml:space="preserve"> </w:t>
                        </w:r>
                        <w:r w:rsidRPr="003F4DB1">
                          <w:rPr>
                            <w:rFonts w:ascii="Arial" w:eastAsia="Times New Roman" w:hAnsi="Arial" w:cs="Arial"/>
                            <w:b/>
                            <w:bCs/>
                            <w:color w:val="000000"/>
                          </w:rPr>
                          <w:t xml:space="preserve">Sen. </w:t>
                        </w:r>
                        <w:proofErr w:type="spellStart"/>
                        <w:r w:rsidRPr="003F4DB1">
                          <w:rPr>
                            <w:rFonts w:ascii="Arial" w:eastAsia="Times New Roman" w:hAnsi="Arial" w:cs="Arial"/>
                            <w:b/>
                            <w:bCs/>
                            <w:color w:val="000000"/>
                          </w:rPr>
                          <w:t>Anavitarte</w:t>
                        </w:r>
                        <w:proofErr w:type="spellEnd"/>
                        <w:r w:rsidRPr="003F4DB1">
                          <w:rPr>
                            <w:rFonts w:ascii="Arial" w:eastAsia="Times New Roman" w:hAnsi="Arial" w:cs="Arial"/>
                            <w:color w:val="000000"/>
                          </w:rPr>
                          <w:t xml:space="preserve"> - Bill would require citizens who want to vote in a Georgia election by absentee ballot to include a copy of their driver's license, voter ID card, passport, or other official form of US identification when they apply for the absentee ballot and at the time of submittal. Assigned to </w:t>
                        </w:r>
                        <w:r w:rsidRPr="003F4DB1">
                          <w:rPr>
                            <w:rFonts w:ascii="Arial" w:eastAsia="Times New Roman" w:hAnsi="Arial" w:cs="Arial"/>
                            <w:b/>
                            <w:bCs/>
                            <w:color w:val="000000"/>
                          </w:rPr>
                          <w:t>House Ethics Committee</w:t>
                        </w:r>
                        <w:r w:rsidRPr="003F4DB1">
                          <w:rPr>
                            <w:rFonts w:ascii="Arial" w:eastAsia="Times New Roman" w:hAnsi="Arial" w:cs="Arial"/>
                            <w:color w:val="000000"/>
                          </w:rPr>
                          <w:t xml:space="preserve"> </w:t>
                        </w:r>
                      </w:p>
                      <w:p w:rsidR="00654BC3" w:rsidRPr="003F4DB1" w:rsidRDefault="00654BC3" w:rsidP="00654BC3">
                        <w:pPr>
                          <w:rPr>
                            <w:rFonts w:ascii="Arial" w:eastAsia="Times New Roman" w:hAnsi="Arial" w:cs="Arial"/>
                            <w:color w:val="000000"/>
                          </w:rPr>
                        </w:pPr>
                        <w:r w:rsidRPr="003F4DB1">
                          <w:rPr>
                            <w:rFonts w:ascii="Arial" w:eastAsia="Times New Roman" w:hAnsi="Arial" w:cs="Arial"/>
                            <w:color w:val="555555"/>
                          </w:rPr>
                          <w:t> </w:t>
                        </w:r>
                      </w:p>
                      <w:p w:rsidR="00654BC3" w:rsidRPr="003F4DB1" w:rsidRDefault="00654BC3" w:rsidP="00654BC3">
                        <w:pPr>
                          <w:rPr>
                            <w:rFonts w:ascii="Arial" w:eastAsia="Times New Roman" w:hAnsi="Arial" w:cs="Arial"/>
                            <w:color w:val="000000"/>
                          </w:rPr>
                        </w:pPr>
                        <w:hyperlink r:id="rId10" w:tgtFrame="_blank" w:history="1">
                          <w:r w:rsidRPr="003F4DB1">
                            <w:rPr>
                              <w:rStyle w:val="Hyperlink"/>
                              <w:rFonts w:ascii="Arial" w:eastAsia="Times New Roman" w:hAnsi="Arial" w:cs="Arial"/>
                              <w:b/>
                              <w:bCs/>
                            </w:rPr>
                            <w:t>SB 30</w:t>
                          </w:r>
                        </w:hyperlink>
                        <w:r w:rsidRPr="003F4DB1">
                          <w:rPr>
                            <w:rFonts w:ascii="Arial" w:eastAsia="Times New Roman" w:hAnsi="Arial" w:cs="Arial"/>
                            <w:b/>
                            <w:bCs/>
                            <w:color w:val="45B3CA"/>
                          </w:rPr>
                          <w:t>:</w:t>
                        </w:r>
                        <w:r w:rsidRPr="003F4DB1">
                          <w:rPr>
                            <w:rFonts w:ascii="Arial" w:eastAsia="Times New Roman" w:hAnsi="Arial" w:cs="Arial"/>
                            <w:color w:val="BF3F2F"/>
                          </w:rPr>
                          <w:t xml:space="preserve"> </w:t>
                        </w:r>
                        <w:r w:rsidRPr="003F4DB1">
                          <w:rPr>
                            <w:rFonts w:ascii="Arial" w:eastAsia="Times New Roman" w:hAnsi="Arial" w:cs="Arial"/>
                            <w:b/>
                            <w:bCs/>
                            <w:color w:val="000000"/>
                          </w:rPr>
                          <w:t>Sen. Beach</w:t>
                        </w:r>
                        <w:r w:rsidRPr="003F4DB1">
                          <w:rPr>
                            <w:rFonts w:ascii="Arial" w:eastAsia="Times New Roman" w:hAnsi="Arial" w:cs="Arial"/>
                            <w:color w:val="000000"/>
                          </w:rPr>
                          <w:t xml:space="preserve"> - SB 30 would provide for pari-mutuel horse racing in Georgia and would establish Georgia Horse Racing Commission. Assigned to </w:t>
                        </w:r>
                        <w:r w:rsidRPr="003F4DB1">
                          <w:rPr>
                            <w:rFonts w:ascii="Arial" w:eastAsia="Times New Roman" w:hAnsi="Arial" w:cs="Arial"/>
                            <w:b/>
                            <w:bCs/>
                            <w:color w:val="000000"/>
                          </w:rPr>
                          <w:t xml:space="preserve">House Regulated Industries and Utilities Committee </w:t>
                        </w:r>
                      </w:p>
                      <w:p w:rsidR="00654BC3" w:rsidRPr="003F4DB1" w:rsidRDefault="00654BC3" w:rsidP="00654BC3">
                        <w:pPr>
                          <w:jc w:val="both"/>
                          <w:rPr>
                            <w:rFonts w:ascii="Arial" w:eastAsia="Times New Roman" w:hAnsi="Arial" w:cs="Arial"/>
                            <w:color w:val="000000"/>
                          </w:rPr>
                        </w:pPr>
                      </w:p>
                      <w:p w:rsidR="00654BC3" w:rsidRPr="003F4DB1" w:rsidRDefault="00654BC3" w:rsidP="00654BC3">
                        <w:pPr>
                          <w:jc w:val="both"/>
                          <w:rPr>
                            <w:rFonts w:ascii="Arial" w:eastAsia="Times New Roman" w:hAnsi="Arial" w:cs="Arial"/>
                            <w:color w:val="000000"/>
                          </w:rPr>
                        </w:pPr>
                        <w:r w:rsidRPr="003F4DB1">
                          <w:rPr>
                            <w:rFonts w:ascii="Arial" w:eastAsia="Times New Roman" w:hAnsi="Arial" w:cs="Arial"/>
                            <w:b/>
                            <w:bCs/>
                            <w:color w:val="0D4F1D"/>
                            <w:u w:val="single"/>
                          </w:rPr>
                          <w:t>HOUSE BILLS</w:t>
                        </w:r>
                      </w:p>
                      <w:p w:rsidR="00654BC3" w:rsidRPr="003F4DB1" w:rsidRDefault="00654BC3" w:rsidP="00654BC3">
                        <w:pPr>
                          <w:rPr>
                            <w:rFonts w:ascii="Arial" w:eastAsia="Times New Roman" w:hAnsi="Arial" w:cs="Arial"/>
                            <w:color w:val="000000"/>
                          </w:rPr>
                        </w:pPr>
                        <w:hyperlink r:id="rId11" w:tgtFrame="_blank" w:history="1">
                          <w:r w:rsidRPr="003F4DB1">
                            <w:rPr>
                              <w:rStyle w:val="Hyperlink"/>
                              <w:rFonts w:ascii="Arial" w:eastAsia="Times New Roman" w:hAnsi="Arial" w:cs="Arial"/>
                              <w:b/>
                              <w:bCs/>
                            </w:rPr>
                            <w:t>HB 98:</w:t>
                          </w:r>
                        </w:hyperlink>
                        <w:r w:rsidRPr="003F4DB1">
                          <w:rPr>
                            <w:rFonts w:ascii="Arial" w:eastAsia="Times New Roman" w:hAnsi="Arial" w:cs="Arial"/>
                            <w:color w:val="1A191A"/>
                          </w:rPr>
                          <w:t xml:space="preserve"> </w:t>
                        </w:r>
                        <w:r w:rsidRPr="003F4DB1">
                          <w:rPr>
                            <w:rFonts w:ascii="Arial" w:eastAsia="Times New Roman" w:hAnsi="Arial" w:cs="Arial"/>
                            <w:b/>
                            <w:bCs/>
                            <w:color w:val="000000"/>
                          </w:rPr>
                          <w:t xml:space="preserve">Rep. Eddie </w:t>
                        </w:r>
                        <w:proofErr w:type="spellStart"/>
                        <w:r w:rsidRPr="003F4DB1">
                          <w:rPr>
                            <w:rFonts w:ascii="Arial" w:eastAsia="Times New Roman" w:hAnsi="Arial" w:cs="Arial"/>
                            <w:b/>
                            <w:bCs/>
                            <w:color w:val="000000"/>
                          </w:rPr>
                          <w:t>Lumsden</w:t>
                        </w:r>
                        <w:proofErr w:type="spellEnd"/>
                        <w:r w:rsidRPr="003F4DB1">
                          <w:rPr>
                            <w:rFonts w:ascii="Arial" w:eastAsia="Times New Roman" w:hAnsi="Arial" w:cs="Arial"/>
                            <w:color w:val="000000"/>
                          </w:rPr>
                          <w:t xml:space="preserve"> - bill would authorize counties and cities to conduct “public hearings” by teleconference during emergency conditions (e.g. pandemics). The policy would acknowledge that participation by teleconference would be equal to full in person participation as if those conducting the public hearing are physically present and members of the public </w:t>
                        </w:r>
                        <w:proofErr w:type="gramStart"/>
                        <w:r w:rsidRPr="003F4DB1">
                          <w:rPr>
                            <w:rFonts w:ascii="Arial" w:eastAsia="Times New Roman" w:hAnsi="Arial" w:cs="Arial"/>
                            <w:color w:val="000000"/>
                          </w:rPr>
                          <w:t>must be afforded</w:t>
                        </w:r>
                        <w:proofErr w:type="gramEnd"/>
                        <w:r w:rsidRPr="003F4DB1">
                          <w:rPr>
                            <w:rFonts w:ascii="Arial" w:eastAsia="Times New Roman" w:hAnsi="Arial" w:cs="Arial"/>
                            <w:color w:val="000000"/>
                          </w:rPr>
                          <w:t xml:space="preserve"> the means to participate fully in the same manner as if they were physically present. The legislation comes from several instances around the state where local municipalities struggled to conduct the business of their boards as quorums where not met because of health concerns of in person meetings. Assigned to </w:t>
                        </w:r>
                        <w:r w:rsidRPr="003F4DB1">
                          <w:rPr>
                            <w:rFonts w:ascii="Arial" w:eastAsia="Times New Roman" w:hAnsi="Arial" w:cs="Arial"/>
                            <w:b/>
                            <w:bCs/>
                            <w:color w:val="000000"/>
                          </w:rPr>
                          <w:t>Government Affairs Committee.</w:t>
                        </w:r>
                        <w:r w:rsidRPr="003F4DB1">
                          <w:rPr>
                            <w:rFonts w:ascii="Arial" w:eastAsia="Times New Roman" w:hAnsi="Arial" w:cs="Arial"/>
                            <w:color w:val="000000"/>
                          </w:rPr>
                          <w:t xml:space="preserve"> </w:t>
                        </w:r>
                      </w:p>
                      <w:p w:rsidR="00654BC3" w:rsidRPr="003F4DB1" w:rsidRDefault="00654BC3" w:rsidP="00654BC3">
                        <w:pPr>
                          <w:jc w:val="both"/>
                          <w:rPr>
                            <w:rFonts w:ascii="Arial" w:eastAsia="Times New Roman" w:hAnsi="Arial" w:cs="Arial"/>
                            <w:color w:val="000000"/>
                          </w:rPr>
                        </w:pPr>
                        <w:r w:rsidRPr="003F4DB1">
                          <w:rPr>
                            <w:rFonts w:ascii="Arial" w:eastAsia="Times New Roman" w:hAnsi="Arial" w:cs="Arial"/>
                            <w:color w:val="555555"/>
                          </w:rPr>
                          <w:t> </w:t>
                        </w:r>
                      </w:p>
                      <w:p w:rsidR="00654BC3" w:rsidRPr="003F4DB1" w:rsidRDefault="00654BC3" w:rsidP="00654BC3">
                        <w:pPr>
                          <w:rPr>
                            <w:rFonts w:ascii="Arial" w:eastAsia="Times New Roman" w:hAnsi="Arial" w:cs="Arial"/>
                            <w:color w:val="000000"/>
                          </w:rPr>
                        </w:pPr>
                        <w:hyperlink r:id="rId12" w:tgtFrame="_blank" w:history="1">
                          <w:proofErr w:type="gramStart"/>
                          <w:r w:rsidRPr="003F4DB1">
                            <w:rPr>
                              <w:rStyle w:val="Hyperlink"/>
                              <w:rFonts w:ascii="Arial" w:eastAsia="Times New Roman" w:hAnsi="Arial" w:cs="Arial"/>
                              <w:b/>
                              <w:bCs/>
                            </w:rPr>
                            <w:t>HB 104:</w:t>
                          </w:r>
                        </w:hyperlink>
                        <w:r w:rsidRPr="003F4DB1">
                          <w:rPr>
                            <w:rFonts w:ascii="Arial" w:eastAsia="Times New Roman" w:hAnsi="Arial" w:cs="Arial"/>
                            <w:b/>
                            <w:bCs/>
                            <w:color w:val="45B3CA"/>
                          </w:rPr>
                          <w:t xml:space="preserve"> </w:t>
                        </w:r>
                        <w:r w:rsidRPr="003F4DB1">
                          <w:rPr>
                            <w:rFonts w:ascii="Arial" w:eastAsia="Times New Roman" w:hAnsi="Arial" w:cs="Arial"/>
                            <w:b/>
                            <w:bCs/>
                            <w:color w:val="000000"/>
                          </w:rPr>
                          <w:t>Rep. Stevens</w:t>
                        </w:r>
                        <w:r w:rsidRPr="003F4DB1">
                          <w:rPr>
                            <w:rFonts w:ascii="Arial" w:eastAsia="Times New Roman" w:hAnsi="Arial" w:cs="Arial"/>
                            <w:color w:val="000000"/>
                          </w:rPr>
                          <w:t xml:space="preserve"> - relating to specific, business, and occupation taxes, so as to levy and impose a tax on persons who enter certain rental agreements with certain equipment rental companies within a certain period of time; to require such equipment rental companies to collect such taxes and remit them to county tax commissioners for credit against such company's ad valorem tax liability for certain equipment; to provide that county tax commissioners shall retain excess fees; to provide for the reporting of certain statistical data related to such tax; to provide for rules and regulations; to provide for definitions; to provide for related matters; to repeal conflicting laws; and for other purposes.</w:t>
                        </w:r>
                        <w:proofErr w:type="gramEnd"/>
                        <w:r w:rsidRPr="003F4DB1">
                          <w:rPr>
                            <w:rFonts w:ascii="Arial" w:eastAsia="Times New Roman" w:hAnsi="Arial" w:cs="Arial"/>
                            <w:color w:val="000000"/>
                          </w:rPr>
                          <w:t xml:space="preserve"> Assigned to </w:t>
                        </w:r>
                        <w:r w:rsidRPr="003F4DB1">
                          <w:rPr>
                            <w:rFonts w:ascii="Arial" w:eastAsia="Times New Roman" w:hAnsi="Arial" w:cs="Arial"/>
                            <w:b/>
                            <w:bCs/>
                            <w:color w:val="000000"/>
                          </w:rPr>
                          <w:t>Ways and Means</w:t>
                        </w:r>
                        <w:r w:rsidRPr="003F4DB1">
                          <w:rPr>
                            <w:rFonts w:ascii="Arial" w:eastAsia="Times New Roman" w:hAnsi="Arial" w:cs="Arial"/>
                            <w:color w:val="000000"/>
                          </w:rPr>
                          <w:t xml:space="preserve"> </w:t>
                        </w:r>
                      </w:p>
                      <w:p w:rsidR="00654BC3" w:rsidRPr="003F4DB1" w:rsidRDefault="00654BC3" w:rsidP="00654BC3">
                        <w:pPr>
                          <w:rPr>
                            <w:rFonts w:ascii="Arial" w:eastAsia="Times New Roman" w:hAnsi="Arial" w:cs="Arial"/>
                            <w:color w:val="000000"/>
                          </w:rPr>
                        </w:pPr>
                      </w:p>
                      <w:p w:rsidR="00654BC3" w:rsidRPr="003F4DB1" w:rsidRDefault="00654BC3" w:rsidP="00654BC3">
                        <w:pPr>
                          <w:rPr>
                            <w:rFonts w:ascii="Arial" w:eastAsia="Times New Roman" w:hAnsi="Arial" w:cs="Arial"/>
                            <w:color w:val="000000"/>
                          </w:rPr>
                        </w:pPr>
                        <w:hyperlink r:id="rId13" w:tgtFrame="_blank" w:history="1">
                          <w:r w:rsidRPr="003F4DB1">
                            <w:rPr>
                              <w:rStyle w:val="Hyperlink"/>
                              <w:rFonts w:ascii="Arial" w:eastAsia="Times New Roman" w:hAnsi="Arial" w:cs="Arial"/>
                              <w:b/>
                              <w:bCs/>
                            </w:rPr>
                            <w:t>HB 112:</w:t>
                          </w:r>
                        </w:hyperlink>
                        <w:r w:rsidRPr="003F4DB1">
                          <w:rPr>
                            <w:rFonts w:ascii="Arial" w:eastAsia="Times New Roman" w:hAnsi="Arial" w:cs="Arial"/>
                            <w:color w:val="000000"/>
                          </w:rPr>
                          <w:t xml:space="preserve"> </w:t>
                        </w:r>
                        <w:r w:rsidRPr="003F4DB1">
                          <w:rPr>
                            <w:rFonts w:ascii="Arial" w:eastAsia="Times New Roman" w:hAnsi="Arial" w:cs="Arial"/>
                            <w:b/>
                            <w:bCs/>
                            <w:color w:val="000000"/>
                          </w:rPr>
                          <w:t xml:space="preserve">Rep. Trey Kelley </w:t>
                        </w:r>
                        <w:r w:rsidRPr="003F4DB1">
                          <w:rPr>
                            <w:rFonts w:ascii="Arial" w:eastAsia="Times New Roman" w:hAnsi="Arial" w:cs="Arial"/>
                            <w:color w:val="000000"/>
                          </w:rPr>
                          <w:t xml:space="preserve">- COVID-19 liability protections for Georgia businesses and hospitals </w:t>
                        </w:r>
                        <w:proofErr w:type="gramStart"/>
                        <w:r w:rsidRPr="003F4DB1">
                          <w:rPr>
                            <w:rFonts w:ascii="Arial" w:eastAsia="Times New Roman" w:hAnsi="Arial" w:cs="Arial"/>
                            <w:color w:val="000000"/>
                          </w:rPr>
                          <w:t>would be extended</w:t>
                        </w:r>
                        <w:proofErr w:type="gramEnd"/>
                        <w:r w:rsidRPr="003F4DB1">
                          <w:rPr>
                            <w:rFonts w:ascii="Arial" w:eastAsia="Times New Roman" w:hAnsi="Arial" w:cs="Arial"/>
                            <w:color w:val="000000"/>
                          </w:rPr>
                          <w:t xml:space="preserve"> until July 14, 2022, under a bill introduced in the General Assembly. Since August, the liability protections have shielded businesses and health-care facilities in Georgia from lawsuits brought by people who contract COVID-19 in all but the worst negligence or recklessness cases. The bill only calls for a one-year extension. Assigned to </w:t>
                        </w:r>
                        <w:r w:rsidRPr="003F4DB1">
                          <w:rPr>
                            <w:rFonts w:ascii="Arial" w:eastAsia="Times New Roman" w:hAnsi="Arial" w:cs="Arial"/>
                            <w:b/>
                            <w:bCs/>
                            <w:color w:val="000000"/>
                          </w:rPr>
                          <w:t>Judiciary Committee</w:t>
                        </w:r>
                        <w:r w:rsidRPr="003F4DB1">
                          <w:rPr>
                            <w:rFonts w:ascii="Arial" w:eastAsia="Times New Roman" w:hAnsi="Arial" w:cs="Arial"/>
                            <w:color w:val="000000"/>
                          </w:rPr>
                          <w:t xml:space="preserve"> </w:t>
                        </w:r>
                      </w:p>
                      <w:p w:rsidR="00654BC3" w:rsidRPr="003F4DB1" w:rsidRDefault="00654BC3" w:rsidP="00654BC3">
                        <w:pPr>
                          <w:rPr>
                            <w:rFonts w:ascii="Arial" w:eastAsia="Times New Roman" w:hAnsi="Arial" w:cs="Arial"/>
                            <w:color w:val="000000"/>
                          </w:rPr>
                        </w:pPr>
                      </w:p>
                      <w:p w:rsidR="00654BC3" w:rsidRPr="003F4DB1" w:rsidRDefault="00654BC3" w:rsidP="00654BC3">
                        <w:pPr>
                          <w:rPr>
                            <w:rFonts w:ascii="Arial" w:eastAsia="Times New Roman" w:hAnsi="Arial" w:cs="Arial"/>
                            <w:color w:val="000000"/>
                          </w:rPr>
                        </w:pPr>
                        <w:hyperlink r:id="rId14" w:tgtFrame="_blank" w:history="1">
                          <w:r w:rsidRPr="003F4DB1">
                            <w:rPr>
                              <w:rStyle w:val="Hyperlink"/>
                              <w:rFonts w:ascii="Arial" w:eastAsia="Times New Roman" w:hAnsi="Arial" w:cs="Arial"/>
                              <w:b/>
                              <w:bCs/>
                            </w:rPr>
                            <w:t>HB 139</w:t>
                          </w:r>
                        </w:hyperlink>
                        <w:r w:rsidRPr="003F4DB1">
                          <w:rPr>
                            <w:rFonts w:ascii="Arial" w:eastAsia="Times New Roman" w:hAnsi="Arial" w:cs="Arial"/>
                            <w:color w:val="45B3CA"/>
                          </w:rPr>
                          <w:t xml:space="preserve">: </w:t>
                        </w:r>
                        <w:r w:rsidRPr="003F4DB1">
                          <w:rPr>
                            <w:rFonts w:ascii="Arial" w:eastAsia="Times New Roman" w:hAnsi="Arial" w:cs="Arial"/>
                            <w:b/>
                            <w:bCs/>
                            <w:color w:val="000000"/>
                          </w:rPr>
                          <w:t>Rep Mainor</w:t>
                        </w:r>
                        <w:r w:rsidRPr="003F4DB1">
                          <w:rPr>
                            <w:rFonts w:ascii="Arial" w:eastAsia="Times New Roman" w:hAnsi="Arial" w:cs="Arial"/>
                            <w:color w:val="000000"/>
                          </w:rPr>
                          <w:t xml:space="preserve"> - This bill would prohibit trains from restricting traffic crossing for longer than 15 minutes except in emergency situations. Assigned to </w:t>
                        </w:r>
                        <w:r w:rsidRPr="003F4DB1">
                          <w:rPr>
                            <w:rFonts w:ascii="Arial" w:eastAsia="Times New Roman" w:hAnsi="Arial" w:cs="Arial"/>
                            <w:b/>
                            <w:bCs/>
                            <w:color w:val="000000"/>
                          </w:rPr>
                          <w:t xml:space="preserve">House Transportation Committee </w:t>
                        </w:r>
                      </w:p>
                      <w:p w:rsidR="00654BC3" w:rsidRPr="003F4DB1" w:rsidRDefault="00654BC3" w:rsidP="00654BC3">
                        <w:pPr>
                          <w:rPr>
                            <w:rFonts w:ascii="Arial" w:eastAsia="Times New Roman" w:hAnsi="Arial" w:cs="Arial"/>
                            <w:color w:val="000000"/>
                          </w:rPr>
                        </w:pPr>
                        <w:r w:rsidRPr="003F4DB1">
                          <w:rPr>
                            <w:rFonts w:ascii="Arial" w:eastAsia="Times New Roman" w:hAnsi="Arial" w:cs="Arial"/>
                            <w:color w:val="555555"/>
                          </w:rPr>
                          <w:t> </w:t>
                        </w:r>
                      </w:p>
                      <w:p w:rsidR="00654BC3" w:rsidRDefault="00654BC3" w:rsidP="00654BC3">
                        <w:hyperlink r:id="rId15" w:tgtFrame="_blank" w:history="1">
                          <w:r w:rsidRPr="003F4DB1">
                            <w:rPr>
                              <w:rStyle w:val="Hyperlink"/>
                              <w:rFonts w:ascii="Arial" w:eastAsia="Times New Roman" w:hAnsi="Arial" w:cs="Arial"/>
                              <w:b/>
                              <w:bCs/>
                            </w:rPr>
                            <w:t>HB 150</w:t>
                          </w:r>
                        </w:hyperlink>
                        <w:r w:rsidRPr="003F4DB1">
                          <w:rPr>
                            <w:rFonts w:ascii="Arial" w:eastAsia="Times New Roman" w:hAnsi="Arial" w:cs="Arial"/>
                            <w:b/>
                            <w:bCs/>
                            <w:color w:val="45B3CA"/>
                          </w:rPr>
                          <w:t>:</w:t>
                        </w:r>
                        <w:r w:rsidRPr="003F4DB1">
                          <w:rPr>
                            <w:rFonts w:ascii="Arial" w:eastAsia="Times New Roman" w:hAnsi="Arial" w:cs="Arial"/>
                            <w:color w:val="BF3F2F"/>
                          </w:rPr>
                          <w:t xml:space="preserve"> </w:t>
                        </w:r>
                        <w:r w:rsidRPr="003F4DB1">
                          <w:rPr>
                            <w:rFonts w:ascii="Arial" w:eastAsia="Times New Roman" w:hAnsi="Arial" w:cs="Arial"/>
                            <w:b/>
                            <w:bCs/>
                            <w:color w:val="000000"/>
                          </w:rPr>
                          <w:t>Reps. Williamson, Hatchett, Kelley, Frazier, Parsons, Smith</w:t>
                        </w:r>
                        <w:r w:rsidRPr="003F4DB1">
                          <w:rPr>
                            <w:rFonts w:ascii="Arial" w:eastAsia="Times New Roman" w:hAnsi="Arial" w:cs="Arial"/>
                            <w:color w:val="000000"/>
                          </w:rPr>
                          <w:t xml:space="preserve"> - </w:t>
                        </w:r>
                        <w:r w:rsidRPr="003F4DB1">
                          <w:rPr>
                            <w:rFonts w:ascii="Arial" w:eastAsia="Times New Roman" w:hAnsi="Arial" w:cs="Arial"/>
                            <w:b/>
                            <w:bCs/>
                            <w:color w:val="000000"/>
                          </w:rPr>
                          <w:t>HB 150</w:t>
                        </w:r>
                        <w:r w:rsidRPr="003F4DB1">
                          <w:rPr>
                            <w:rFonts w:ascii="Arial" w:eastAsia="Times New Roman" w:hAnsi="Arial" w:cs="Arial"/>
                            <w:color w:val="000000"/>
                          </w:rPr>
                          <w:t xml:space="preserve"> would prohibit local government entities in Georgia from banning the connection of any utility service based on the type or source of fuel. Assigned to </w:t>
                        </w:r>
                        <w:r w:rsidRPr="003F4DB1">
                          <w:rPr>
                            <w:rFonts w:ascii="Arial" w:eastAsia="Times New Roman" w:hAnsi="Arial" w:cs="Arial"/>
                            <w:b/>
                            <w:bCs/>
                            <w:color w:val="000000"/>
                          </w:rPr>
                          <w:t>House Energy, Utilities, and Telecommunications Committee</w:t>
                        </w:r>
                      </w:p>
                      <w:p w:rsidR="00654BC3" w:rsidRDefault="00654BC3" w:rsidP="006C33C5">
                        <w:pPr>
                          <w:tabs>
                            <w:tab w:val="left" w:pos="9930"/>
                          </w:tabs>
                          <w:ind w:right="-5790"/>
                          <w:rPr>
                            <w:rFonts w:ascii="Arial" w:eastAsia="Times New Roman" w:hAnsi="Arial" w:cs="Arial"/>
                            <w:color w:val="000000"/>
                            <w:sz w:val="18"/>
                            <w:szCs w:val="18"/>
                          </w:rPr>
                        </w:pPr>
                      </w:p>
                    </w:tc>
                  </w:tr>
                </w:tbl>
                <w:p w:rsidR="006C33C5" w:rsidRDefault="006C33C5" w:rsidP="006C33C5">
                  <w:pPr>
                    <w:ind w:left="-300"/>
                    <w:rPr>
                      <w:rFonts w:ascii="Arial" w:eastAsia="Times New Roman" w:hAnsi="Arial" w:cs="Arial"/>
                      <w:color w:val="000000"/>
                      <w:sz w:val="18"/>
                      <w:szCs w:val="18"/>
                    </w:rPr>
                  </w:pPr>
                </w:p>
              </w:tc>
            </w:tr>
          </w:tbl>
          <w:p w:rsidR="006C33C5" w:rsidRDefault="006C33C5">
            <w:pPr>
              <w:rPr>
                <w:rFonts w:eastAsia="Times New Roman"/>
                <w:sz w:val="20"/>
                <w:szCs w:val="20"/>
              </w:rPr>
            </w:pPr>
          </w:p>
        </w:tc>
        <w:tc>
          <w:tcPr>
            <w:tcW w:w="2" w:type="pct"/>
            <w:hideMark/>
          </w:tcPr>
          <w:tbl>
            <w:tblPr>
              <w:tblW w:w="5000" w:type="pct"/>
              <w:tblCellMar>
                <w:left w:w="0" w:type="dxa"/>
                <w:right w:w="0" w:type="dxa"/>
              </w:tblCellMar>
              <w:tblLook w:val="04A0" w:firstRow="1" w:lastRow="0" w:firstColumn="1" w:lastColumn="0" w:noHBand="0" w:noVBand="1"/>
            </w:tblPr>
            <w:tblGrid>
              <w:gridCol w:w="5"/>
            </w:tblGrid>
            <w:tr w:rsidR="006C33C5">
              <w:tc>
                <w:tcPr>
                  <w:tcW w:w="0" w:type="auto"/>
                  <w:tcMar>
                    <w:top w:w="150" w:type="dxa"/>
                    <w:left w:w="0" w:type="dxa"/>
                    <w:bottom w:w="150" w:type="dxa"/>
                    <w:right w:w="0" w:type="dxa"/>
                  </w:tcMar>
                  <w:hideMark/>
                </w:tcPr>
                <w:p w:rsidR="006C33C5" w:rsidRDefault="006C33C5">
                  <w:pPr>
                    <w:jc w:val="center"/>
                    <w:rPr>
                      <w:rFonts w:eastAsia="Times New Roman"/>
                    </w:rPr>
                  </w:pPr>
                </w:p>
              </w:tc>
            </w:tr>
          </w:tbl>
          <w:p w:rsidR="006C33C5" w:rsidRDefault="006C33C5">
            <w:pPr>
              <w:rPr>
                <w:rFonts w:eastAsia="Times New Roman"/>
                <w:sz w:val="20"/>
                <w:szCs w:val="20"/>
              </w:rPr>
            </w:pPr>
          </w:p>
        </w:tc>
      </w:tr>
    </w:tbl>
    <w:p w:rsidR="00F009B4" w:rsidRDefault="00F009B4"/>
    <w:sectPr w:rsidR="00F009B4" w:rsidSect="006C3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C5"/>
    <w:rsid w:val="003C5A95"/>
    <w:rsid w:val="00654BC3"/>
    <w:rsid w:val="006C33C5"/>
    <w:rsid w:val="00955E0A"/>
    <w:rsid w:val="00B87073"/>
    <w:rsid w:val="00D165BA"/>
    <w:rsid w:val="00F0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171F"/>
  <w15:chartTrackingRefBased/>
  <w15:docId w15:val="{CE3562F4-859B-4C57-869B-92A21BFE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C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2832">
      <w:bodyDiv w:val="1"/>
      <w:marLeft w:val="0"/>
      <w:marRight w:val="0"/>
      <w:marTop w:val="0"/>
      <w:marBottom w:val="0"/>
      <w:divBdr>
        <w:top w:val="none" w:sz="0" w:space="0" w:color="auto"/>
        <w:left w:val="none" w:sz="0" w:space="0" w:color="auto"/>
        <w:bottom w:val="none" w:sz="0" w:space="0" w:color="auto"/>
        <w:right w:val="none" w:sz="0" w:space="0" w:color="auto"/>
      </w:divBdr>
    </w:div>
    <w:div w:id="740104610">
      <w:bodyDiv w:val="1"/>
      <w:marLeft w:val="0"/>
      <w:marRight w:val="0"/>
      <w:marTop w:val="0"/>
      <w:marBottom w:val="0"/>
      <w:divBdr>
        <w:top w:val="none" w:sz="0" w:space="0" w:color="auto"/>
        <w:left w:val="none" w:sz="0" w:space="0" w:color="auto"/>
        <w:bottom w:val="none" w:sz="0" w:space="0" w:color="auto"/>
        <w:right w:val="none" w:sz="0" w:space="0" w:color="auto"/>
      </w:divBdr>
    </w:div>
    <w:div w:id="1004550472">
      <w:bodyDiv w:val="1"/>
      <w:marLeft w:val="0"/>
      <w:marRight w:val="0"/>
      <w:marTop w:val="0"/>
      <w:marBottom w:val="0"/>
      <w:divBdr>
        <w:top w:val="none" w:sz="0" w:space="0" w:color="auto"/>
        <w:left w:val="none" w:sz="0" w:space="0" w:color="auto"/>
        <w:bottom w:val="none" w:sz="0" w:space="0" w:color="auto"/>
        <w:right w:val="none" w:sz="0" w:space="0" w:color="auto"/>
      </w:divBdr>
    </w:div>
    <w:div w:id="1068766452">
      <w:bodyDiv w:val="1"/>
      <w:marLeft w:val="0"/>
      <w:marRight w:val="0"/>
      <w:marTop w:val="0"/>
      <w:marBottom w:val="0"/>
      <w:divBdr>
        <w:top w:val="none" w:sz="0" w:space="0" w:color="auto"/>
        <w:left w:val="none" w:sz="0" w:space="0" w:color="auto"/>
        <w:bottom w:val="none" w:sz="0" w:space="0" w:color="auto"/>
        <w:right w:val="none" w:sz="0" w:space="0" w:color="auto"/>
      </w:divBdr>
    </w:div>
    <w:div w:id="1320816276">
      <w:bodyDiv w:val="1"/>
      <w:marLeft w:val="0"/>
      <w:marRight w:val="0"/>
      <w:marTop w:val="0"/>
      <w:marBottom w:val="0"/>
      <w:divBdr>
        <w:top w:val="none" w:sz="0" w:space="0" w:color="auto"/>
        <w:left w:val="none" w:sz="0" w:space="0" w:color="auto"/>
        <w:bottom w:val="none" w:sz="0" w:space="0" w:color="auto"/>
        <w:right w:val="none" w:sz="0" w:space="0" w:color="auto"/>
      </w:divBdr>
    </w:div>
    <w:div w:id="21125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r20.rs6.net/tn.jsp?f=001x9-IBu7sTS7xmlPKv25pkonOfCiU2O2S4rdIV-LOldu5Nv4d-CY0Rr_tAkszrGNNYtx7AR7N0TdeHN6OqerjmyqsKfi3GFHnucAJzxgvQP9sMrAcQVAlo-adF7Y2C7WxW1b3O6ob5491y9qRtJPg51k-73xXqTaGgA_5vD1bMvoYOsVOpDvkpnOmsjm_s34Ch5YhoJu8GgMTp-ZenQa7rb59XC2bUjxIkGdpmKaNY4Ng28lWYW15HBYzj-LrZDbyY4-b13EIZrNNIety7YAmgC4FDxl9-7WF_TyXN_FgMFaQm7LWs5x3lN_MCbFopd3H-RobjSehsMWpHq8VsKvl-6kxSGcUX1g0QwHnzIixGwVU2imQ-A_IigvzX2tXGVv0wJbW34-OaM9dCvUZIo3dZ7fNXg4c58cDo4VrtolGe_ZRiU3QvuCH_RWru5rPEpW4AxDnHeQJ65nDk67o1Wp0ZO9fTzA1ATS_qU_uJxysHOn4oOI1KlA-TbWXYEm3Jjp7MjzaettktCA5CamVDfFjafQQfSdNIemJc9J7DrcZBhB6t9G-2yC7gzmAl8ENbETy5J8NA7rsl427vFV9QJBe-m9GFI63qcSaYZaADM7D6MPqy3jYwSVk2v2kWu7PUlqdPq1zSFmZlVa2X7s21cCTGxWrT-2o57Jq4RjuRGt5gbQcbdAzKR_cBqoFz22rloKgAkUc3WW1Xunw6F8Mtf9Sv1Z6sjKSIykj4miYyVKyI81csDin5JGFPO3LCUj7r5F9SjoJkFSl341ax9WKGCa2sHKEmVeNUCXafKmLHF10HCfod7VCDaRwcmdSNOOcocxy24hKglhYzG0NEyAZI0kFtVxqGY5wEcmSyrPqmH9zXXj89D7kAYwfdrbEOWRHOFiw_0jS2wzdW5d5TYswyvCye0Z-vBepG8A5&amp;c=N-jgNgUXC5FnkhmYo6hwjYTFhl0v3JZYUO6N8qurc3gZjUbhDKnxEw==&amp;ch=doqdNJyKgI1oTYxdNf-zlXAriFwkjtg5_GqqwlLqzzFxf80sa_qE5Q=="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r20.rs6.net/tn.jsp?f=001x9-IBu7sTS7xmlPKv25pkonOfCiU2O2S4rdIV-LOldu5Nv4d-CY0Rr_tAkszrGNNYtx7AR7N0TdeHN6OqerjmyqsKfi3GFHnucAJzxgvQP9sMrAcQVAlo-adF7Y2C7WxW1b3O6ob5491y9qRtJPg51k-73xXqTaGgA_5vD1bMvoYOsVOpDvkpnOmsjm_s34Ch5YhoJu8GgMTp-ZenQa7rb59XC2bUjxIkGdpmKaNY4Ng28lWYW15HBYzj-LrZDbyY4-b13EIZrNNIety7YAmgC4FDxl9-7WF_TyXN_FgMFaQm7LWs5x3lN_MCbFopd3H-RobjSehsMWpHq8VsKvl-6kxSGcUX1g0QwHnzIixGwVU2imQ-A_IigvzX2tXGVv0wJbW34-OaM9dCvUZIo3dZ7fNXg4c58cDo4VrtolGe_ZRiU3QvuCH_RWru5rPEpW4AxDnHeQJ65nDk67o1Wp0ZO9fTzA1ATS_qU_uJxysHOn4oOI1KlA-TbWXYEm3Jjp7MjzaettktCA5CamVDfFjafQQfSdNIemJc9J7DrcZBhB6t9G-2yC7gzmAl8ENbETy5J8NA7rsl427vFV9QJBe-m9GFI63qcSaYZaADM7D6MPqy3jYwSVk2v2kWu7PUlqdPq1zSFmZlVa2X7s21cCTGxWrT-2o57Jq4RjuRGt5gbQcbdAzKR_cBqoFz22rloKgAkUc3WW1Xunw6F8Mtf9Sv1Z6sjKSIykj4miYyVKyI81csDin5JGFPO3LCUj7r5F9SjoJkFSl341ax9WKGCa2sHKEmVeNUCXafKmLHF10HCfod7VCDaRwcmdSNOOcocxy24hKglhYzG0NEyAZI0kFtVxqGY5wEcmSyrPqmH9zXXj89D7kAYwfdrbEOWRHOFiw_0jS2wzdW5d5TYswyvCye0Z-vBepG8A5&amp;c=N-jgNgUXC5FnkhmYo6hwjYTFhl0v3JZYUO6N8qurc3gZjUbhDKnxEw==&amp;ch=doqdNJyKgI1oTYxdNf-zlXAriFwkjtg5_GqqwlLqzzFxf80sa_qE5Q=="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r20.rs6.net/tn.jsp?f=001x9-IBu7sTS7xmlPKv25pkonOfCiU2O2S4rdIV-LOldu5Nv4d-CY0Rr_tAkszrGNNUIWrjMh1OpRHFlQ4C6cRplVQBHwbZBPDHyTyFeXAINGh81Zsozj9tCMEp1PJSRMUgRJ35UKfGUBkilmv78rJqL0rHWwf-5HE3bbhGtD_zJU=&amp;c=N-jgNgUXC5FnkhmYo6hwjYTFhl0v3JZYUO6N8qurc3gZjUbhDKnxEw==&amp;ch=doqdNJyKgI1oTYxdNf-zlXAriFwkjtg5_GqqwlLqzzFxf80sa_qE5Q==" TargetMode="External"/><Relationship Id="rId5" Type="http://schemas.openxmlformats.org/officeDocument/2006/relationships/image" Target="media/image1.jpeg"/><Relationship Id="rId15" Type="http://schemas.openxmlformats.org/officeDocument/2006/relationships/hyperlink" Target="http://r20.rs6.net/tn.jsp?f=001x9-IBu7sTS7xmlPKv25pkonOfCiU2O2S4rdIV-LOldu5Nv4d-CY0Rr_tAkszrGNN7c_Nfju7sq4bRD4N0mq4YHGsXCF384j0z9zYYjS5jPqKarF08-xyXQnQRK14ff0fmDGVglLURplvrKrOHitAAqcmXw7dCPWz01dmk5R8JpWowlNSu_H3stHQosm-4AFccmXGWapjO3oc1ZgKRb8aZet5-_Yi-neSkMCmbGHIKLUfdgarnEx82dP8CdwDXV6OvdkJ376HegYHAuOZbOPS-hg1NotFiJujRLNIEMr42Ci932Q4RSxvjFOtyoEIZS4DuZZGNnqkZPw1_748YzQuwg3l_Sz9XMTh9aZFyQotAtYwtqeaN8F8MLYZjHTYO06V70cHOLJC7zs5McjlkyrP_47Dp58U_62gopb_EQoiciQpipzaoftnqyKtTftXI1WCL0Zp5RYCqMGf6pWYtEBxfweacwRaSEehauQR8SMOWkK3Gg5D3BYjDnIUbagtYY-mp7avkL3zkW4GYySfvInaJQ5TeIGaXJj7AFcaicynW9I57v0mb2hyoctArg1K7JY6LkFFcjCVHSG9bbfUo0-YDTbZ7Dkiejd6Kxg3Tc7BruIkYBe1w0jrWPsJW2adshczeXE1EP2RGw3t_zG9amEpTDcHx5S5jFR3FiqRpanEplomB9ppVth1Z0912YdyOt6WiLmaG3xB5naQAr1HGXYLQMf6Td_wt58-asJZ1wYHaWgjkaILXE4m1C9KmS_VJwFhKBKS7fqGEpBLFT2kQnR8PIsvycslyp-rFijgEAhjE0h_bv8oqqUGyVWUP_Zl5Q1FKzEEn-b01SXY4t9IZ5ADPvBbZ-Rl_GsZb43QIcp0AhoDnHZBR2gThcYGXDVH8ERsnpkiafW57RSM0P99-uPC4Q==&amp;c=N-jgNgUXC5FnkhmYo6hwjYTFhl0v3JZYUO6N8qurc3gZjUbhDKnxEw==&amp;ch=doqdNJyKgI1oTYxdNf-zlXAriFwkjtg5_GqqwlLqzzFxf80sa_qE5Q==" TargetMode="External"/><Relationship Id="rId10" Type="http://schemas.openxmlformats.org/officeDocument/2006/relationships/hyperlink" Target="http://r20.rs6.net/tn.jsp?f=001x9-IBu7sTS7xmlPKv25pkonOfCiU2O2S4rdIV-LOldu5Nv4d-CY0Rr_tAkszrGNNgbsP5NaweM0ehRBv-PCT1e9D2_jDw8S0Dp26NPUkVddMapCUimrpoSPc0mRt9j-YKXSH2AE0TBp1NC20e0y0g7dEChu3YzwHqP-ON-SWodm73mhzztNgm7O0ojVIAxrvkiSlOYWh9Y3QrzHwowZlMMBZlOxUnBuOTdJB9Uas0zu1FozKJ02gueq7VgSj3ayU3JWDPE_S-Wwtgok9CwOuKJEuZt0oZ2O6Ytz7SePN1k_8U-Q0Va-taKvn6y0TVwViCUND22dEa4t14qD2e4XyKxG2jabWaihBcib4oZm3XD_hhHlDIPO8rkHSLS9j2t1umVDJXkXUdtGgWNZNLhiwo2e0aYAlFpNWqXzqpH8O6UmEaTSsXU07DQpwwnomOXT2pfgxOajKF1wgsDiv3U-RJuVNGvzHOeKOd08nzpwmD8VaWawr8MXNIYiPajQRkAdw3BxCq8vYKHD59Mzvglly0nwC8FebaTzZjEKpFUEi68UBnqMLUXwQeybnx9JbtU-cYf-t8Dmi4QzJIej89jWJRayaF7y1MyWIwXsr29VTaD-dex7ro78C1moIW70l-OUUfU-Qu3n1cFQra5mmaAlghCm-2Tjb4_kWxeg2n50FJ7mJsZnM--iVe3gQjpgqpVyMIi-E33Gz7X4jqwd2CGBQDr6OXbbkDZR7I28S_JNmXiFvwLCqjhuTyRXVNKonOp2-oi8afEepKUE2LFIMDON4p3weoJb4uQ3PzMrccqRWwe1kztEkX9-ipPn0K8l9_bNI2PjJlozht3Ep8A57JLDNwHBZcnpr286TlwwIrzHtA5WaN0y8RD60xC5v2tdgQJgYC_rYwRzg5PF7JqFubtZ4QA==&amp;c=N-jgNgUXC5FnkhmYo6hwjYTFhl0v3JZYUO6N8qurc3gZjUbhDKnxEw==&amp;ch=doqdNJyKgI1oTYxdNf-zlXAriFwkjtg5_GqqwlLqzzFxf80sa_qE5Q==" TargetMode="External"/><Relationship Id="rId4" Type="http://schemas.openxmlformats.org/officeDocument/2006/relationships/hyperlink" Target="http://r20.rs6.net/tn.jsp?f=001dYTT0dzmJj2HdWwWDvADsHvIJIJxA1KLv7RyGxSDiENR05EPiP9GEz-i_tRCVhf9VVBA6rixKbd3veFy9caXd0cTbV79mxj72CND59oN26zHte0SFvmdRUQSLlMJdb7Zza9JVMTlI1xVr3S-BddZrpt9Yt31x5lDJ9_zPijFlPsWv9GyzEp69JA3Ek3hW_cbVXk5-CEdA_c=&amp;c=DnTJnQmH9ja2D6btZSGUvwuMbgkQEbQDFDz1R4yF3DPfjD5XeAJSjw==&amp;ch=j4XSEYlB-K_YI2Zx5E_2bqDP8jWxcC6zK4za2UW0sH51O2jKvaCjSA==" TargetMode="External"/><Relationship Id="rId9" Type="http://schemas.openxmlformats.org/officeDocument/2006/relationships/hyperlink" Target="http://r20.rs6.net/tn.jsp?f=001x9-IBu7sTS7xmlPKv25pkonOfCiU2O2S4rdIV-LOldu5Nv4d-CY0Rr_tAkszrGNNa5dQpUzffZt2fJiQGnEU5DxFxgcJNGcDIULny0rHfloQYBcvEMScC8nCT7J8cN3YABp0x0gXwfXaapMcddyfWrPY2mGu5DcXnjRhyzi-_a0TmcLidGvJUgAH1RGHwuJiQG4WGdzq7-I3GbzQ0zVUogYBZC5wsjZAC-R1ZOK3v2Ev_hpNGb019KZTcIetjGm9i0xmRJ4i66dY1nA0LB-capJLXS4yClCfuRSNGqa1e8vfQYccvTrh4LoZfHQwPtzNbOK96lgIKUXsHIVVCbof0VjkMn6Q9RJk_4t8ymbdEkVPO8aqiGerbo-qKKnQN47rAJhSEK0og6drJhP2um8j3fHenPxjJ0TKIbWYaq3S5dtqHlrPaXJXJpixPcPESOM-XaClJzrAqcD1NsfA7o2ftJrzMaoWDbcvASbZ6UPstXdf3f8-csTW7fr9elq5WODycAnKwgSgQDKmvM7pmYJs75iZtZganl9llCv0MmIlnjJjXceyK95wUm7NrLtbUwt35O_cQIOfdIOxGdtsNftjxzErUpi0r9XFb4yMgqpuUmArrCQ2Sw3uHJDYWId-5T-Yg0xUCTF-_Ri-apwGthlnWgFK6ySJ-sxOkTXIcpqGWgyBrCYyxHk_QLJ6N1JI_9MqO2jhfUJYcr_DnrbTvFrQr46Q45p_C7C99Jq0Y7gkye805y-Um9hWQgN6bryTVLw2PlrcGZGoZYwU9e3fMmqGwz2hxLWf_O-lF2LOOZUmjMHNaWQRl0euBy9ApORFwYbAKycwpbbhqIBjHoOZlN62XdjnVs0ufmgxtbpud8IGUe58vRED3m6kbNvL1ffSwhOcVdkpUWRHpZ-U5sgmCL6TDDAe41cm2DdD&amp;c=N-jgNgUXC5FnkhmYo6hwjYTFhl0v3JZYUO6N8qurc3gZjUbhDKnxEw==&amp;ch=doqdNJyKgI1oTYxdNf-zlXAriFwkjtg5_GqqwlLqzzFxf80sa_qE5Q==" TargetMode="External"/><Relationship Id="rId14" Type="http://schemas.openxmlformats.org/officeDocument/2006/relationships/hyperlink" Target="http://r20.rs6.net/tn.jsp?f=001x9-IBu7sTS7xmlPKv25pkonOfCiU2O2S4rdIV-LOldu5Nv4d-CY0Rr_tAkszrGNNYtx7AR7N0TdeHN6OqerjmyqsKfi3GFHnucAJzxgvQP9sMrAcQVAlo-adF7Y2C7WxW1b3O6ob5491y9qRtJPg51k-73xXqTaGgA_5vD1bMvoYOsVOpDvkpnOmsjm_s34Ch5YhoJu8GgMTp-ZenQa7rb59XC2bUjxIkGdpmKaNY4Ng28lWYW15HBYzj-LrZDbyY4-b13EIZrNNIety7YAmgC4FDxl9-7WF_TyXN_FgMFaQm7LWs5x3lN_MCbFopd3H-RobjSehsMWpHq8VsKvl-6kxSGcUX1g0QwHnzIixGwVU2imQ-A_IigvzX2tXGVv0wJbW34-OaM9dCvUZIo3dZ7fNXg4c58cDo4VrtolGe_ZRiU3QvuCH_RWru5rPEpW4AxDnHeQJ65nDk67o1Wp0ZO9fTzA1ATS_qU_uJxysHOn4oOI1KlA-TbWXYEm3Jjp7MjzaettktCA5CamVDfFjafQQfSdNIemJc9J7DrcZBhB6t9G-2yC7gzmAl8ENbETy5J8NA7rsl427vFV9QJBe-m9GFI63qcSaYZaADM7D6MPqy3jYwSVk2v2kWu7PUlqdPq1zSFmZlVa2X7s21cCTGxWrT-2o57Jq4RjuRGt5gbQcbdAzKR_cBqoFz22rloKgAkUc3WW1Xunw6F8Mtf9Sv1Z6sjKSIykj4miYyVKyI81csDin5JGFPO3LCUj7r5F9SjoJkFSl341ax9WKGCa2sHKEmVeNUCXafKmLHF10HCfod7VCDaRwcmdSNOOcocxy24hKglhYzG0NEyAZI0kFtVxqGY5wEcmSyrPqmH9zXXj89D7kAYwfdrbEOWRHOFiw_0jS2wzdW5d5TYswyvCye0Z-vBepG8A5&amp;c=N-jgNgUXC5FnkhmYo6hwjYTFhl0v3JZYUO6N8qurc3gZjUbhDKnxEw==&amp;ch=doqdNJyKgI1oTYxdNf-zlXAriFwkjtg5_GqqwlLqzzFxf80sa_qE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Blevins</dc:creator>
  <cp:keywords/>
  <dc:description/>
  <cp:lastModifiedBy>Susan Blevins</cp:lastModifiedBy>
  <cp:revision>3</cp:revision>
  <dcterms:created xsi:type="dcterms:W3CDTF">2021-02-12T13:47:00Z</dcterms:created>
  <dcterms:modified xsi:type="dcterms:W3CDTF">2021-02-12T14:15:00Z</dcterms:modified>
</cp:coreProperties>
</file>