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DB1" w:rsidRPr="003F4DB1" w:rsidRDefault="003F4DB1" w:rsidP="003F4DB1">
      <w:pPr>
        <w:rPr>
          <w:rFonts w:ascii="Arial" w:eastAsia="Times New Roman" w:hAnsi="Arial" w:cs="Arial"/>
          <w:color w:val="000000"/>
        </w:rPr>
      </w:pPr>
      <w:r w:rsidRPr="003F4DB1">
        <w:rPr>
          <w:rFonts w:ascii="Arial" w:eastAsia="Times New Roman" w:hAnsi="Arial" w:cs="Arial"/>
          <w:b/>
          <w:bCs/>
          <w:color w:val="BF3F2F"/>
        </w:rPr>
        <w:t xml:space="preserve">WEEK </w:t>
      </w:r>
      <w:proofErr w:type="gramStart"/>
      <w:r w:rsidRPr="003F4DB1">
        <w:rPr>
          <w:rFonts w:ascii="Arial" w:eastAsia="Times New Roman" w:hAnsi="Arial" w:cs="Arial"/>
          <w:b/>
          <w:bCs/>
          <w:color w:val="BF3F2F"/>
        </w:rPr>
        <w:t>THREE</w:t>
      </w:r>
      <w:proofErr w:type="gramEnd"/>
      <w:r w:rsidRPr="003F4DB1">
        <w:rPr>
          <w:rFonts w:ascii="Arial" w:eastAsia="Times New Roman" w:hAnsi="Arial" w:cs="Arial"/>
          <w:b/>
          <w:bCs/>
          <w:color w:val="BF3F2F"/>
        </w:rPr>
        <w:t xml:space="preserve"> LEGISLATIVE REPORT</w:t>
      </w:r>
    </w:p>
    <w:p w:rsidR="003F4DB1" w:rsidRPr="003F4DB1" w:rsidRDefault="003F4DB1" w:rsidP="003F4DB1">
      <w:pPr>
        <w:rPr>
          <w:rFonts w:ascii="Arial" w:eastAsia="Times New Roman" w:hAnsi="Arial" w:cs="Arial"/>
          <w:color w:val="000000"/>
        </w:rPr>
      </w:pPr>
      <w:r w:rsidRPr="003F4DB1">
        <w:rPr>
          <w:rFonts w:ascii="Arial" w:eastAsia="Times New Roman" w:hAnsi="Arial" w:cs="Arial"/>
          <w:color w:val="000000"/>
        </w:rPr>
        <w:t xml:space="preserve">Week three of the Georgia Legislative Session saw more than just the security wall outside the Capitol under construction as appropriations sub-committees hammered out final details and the House passed the amended budget on Thursday. The "little budget" is now in the hands of the State Senate as they work to meet the funding needs of state agencies and the constituents that they serve. </w:t>
      </w:r>
    </w:p>
    <w:p w:rsidR="003F4DB1" w:rsidRPr="003F4DB1" w:rsidRDefault="003F4DB1" w:rsidP="003F4DB1">
      <w:pPr>
        <w:rPr>
          <w:rFonts w:ascii="Arial" w:eastAsia="Times New Roman" w:hAnsi="Arial" w:cs="Arial"/>
          <w:color w:val="000000"/>
        </w:rPr>
      </w:pPr>
    </w:p>
    <w:p w:rsidR="003F4DB1" w:rsidRPr="003F4DB1" w:rsidRDefault="003F4DB1" w:rsidP="003F4DB1">
      <w:pPr>
        <w:rPr>
          <w:rFonts w:ascii="Arial" w:eastAsia="Times New Roman" w:hAnsi="Arial" w:cs="Arial"/>
          <w:color w:val="000000"/>
        </w:rPr>
      </w:pPr>
      <w:r w:rsidRPr="003F4DB1">
        <w:rPr>
          <w:rFonts w:ascii="Arial" w:eastAsia="Times New Roman" w:hAnsi="Arial" w:cs="Arial"/>
          <w:color w:val="000000"/>
        </w:rPr>
        <w:t xml:space="preserve">New bills </w:t>
      </w:r>
      <w:proofErr w:type="gramStart"/>
      <w:r w:rsidRPr="003F4DB1">
        <w:rPr>
          <w:rFonts w:ascii="Arial" w:eastAsia="Times New Roman" w:hAnsi="Arial" w:cs="Arial"/>
          <w:color w:val="000000"/>
        </w:rPr>
        <w:t>are being introduced</w:t>
      </w:r>
      <w:proofErr w:type="gramEnd"/>
      <w:r w:rsidRPr="003F4DB1">
        <w:rPr>
          <w:rFonts w:ascii="Arial" w:eastAsia="Times New Roman" w:hAnsi="Arial" w:cs="Arial"/>
          <w:color w:val="000000"/>
        </w:rPr>
        <w:t xml:space="preserve"> each day and we are keeping a close watch on those of interest to agribusiness. Legislation impacting agriculture, the business community and rural development initiatives should continue to surface in the next week or two, so stay tuned. </w:t>
      </w:r>
    </w:p>
    <w:p w:rsidR="003F4DB1" w:rsidRPr="003F4DB1" w:rsidRDefault="003F4DB1" w:rsidP="003F4DB1">
      <w:pPr>
        <w:rPr>
          <w:rFonts w:ascii="Arial" w:eastAsia="Times New Roman" w:hAnsi="Arial" w:cs="Arial"/>
          <w:color w:val="000000"/>
        </w:rPr>
      </w:pPr>
    </w:p>
    <w:p w:rsidR="003F4DB1" w:rsidRPr="003F4DB1" w:rsidRDefault="003F4DB1" w:rsidP="003F4DB1">
      <w:pPr>
        <w:rPr>
          <w:rFonts w:ascii="Arial" w:eastAsia="Times New Roman" w:hAnsi="Arial" w:cs="Arial"/>
          <w:color w:val="000000"/>
        </w:rPr>
      </w:pPr>
      <w:proofErr w:type="gramStart"/>
      <w:r w:rsidRPr="003F4DB1">
        <w:rPr>
          <w:rFonts w:ascii="Arial" w:eastAsia="Times New Roman" w:hAnsi="Arial" w:cs="Arial"/>
          <w:color w:val="000000"/>
        </w:rPr>
        <w:t>We’ve</w:t>
      </w:r>
      <w:proofErr w:type="gramEnd"/>
      <w:r w:rsidRPr="003F4DB1">
        <w:rPr>
          <w:rFonts w:ascii="Arial" w:eastAsia="Times New Roman" w:hAnsi="Arial" w:cs="Arial"/>
          <w:color w:val="000000"/>
        </w:rPr>
        <w:t xml:space="preserve"> provided a quick summary of action for you below, but there is much more to come in the weeks ahead.</w:t>
      </w:r>
    </w:p>
    <w:p w:rsidR="003F4DB1" w:rsidRPr="003F4DB1" w:rsidRDefault="003F4DB1" w:rsidP="003F4DB1">
      <w:pPr>
        <w:rPr>
          <w:rFonts w:ascii="Arial" w:eastAsia="Times New Roman" w:hAnsi="Arial" w:cs="Arial"/>
          <w:color w:val="000000"/>
        </w:rPr>
      </w:pPr>
    </w:p>
    <w:tbl>
      <w:tblPr>
        <w:tblpPr w:leftFromText="30" w:rightFromText="115" w:vertAnchor="text" w:tblpXSpec="right" w:tblpYSpec="center"/>
        <w:tblW w:w="0" w:type="auto"/>
        <w:tblCellMar>
          <w:left w:w="0" w:type="dxa"/>
          <w:right w:w="0" w:type="dxa"/>
        </w:tblCellMar>
        <w:tblLook w:val="04A0" w:firstRow="1" w:lastRow="0" w:firstColumn="1" w:lastColumn="0" w:noHBand="0" w:noVBand="1"/>
      </w:tblPr>
      <w:tblGrid>
        <w:gridCol w:w="75"/>
        <w:gridCol w:w="10"/>
      </w:tblGrid>
      <w:tr w:rsidR="003F4DB1" w:rsidRPr="003F4DB1" w:rsidTr="003F4DB1">
        <w:trPr>
          <w:trHeight w:val="75"/>
        </w:trPr>
        <w:tc>
          <w:tcPr>
            <w:tcW w:w="75" w:type="dxa"/>
            <w:hideMark/>
          </w:tcPr>
          <w:p w:rsidR="003F4DB1" w:rsidRPr="003F4DB1" w:rsidRDefault="003F4DB1">
            <w:pPr>
              <w:spacing w:line="15" w:lineRule="atLeast"/>
              <w:jc w:val="center"/>
              <w:rPr>
                <w:rFonts w:ascii="Arial" w:eastAsia="Times New Roman" w:hAnsi="Arial" w:cs="Arial"/>
              </w:rPr>
            </w:pPr>
            <w:r w:rsidRPr="003F4DB1">
              <w:rPr>
                <w:rFonts w:ascii="Arial" w:eastAsia="Times New Roman" w:hAnsi="Arial" w:cs="Arial"/>
                <w:noProof/>
              </w:rPr>
              <w:drawing>
                <wp:inline distT="0" distB="0" distL="0" distR="0">
                  <wp:extent cx="44450" cy="6350"/>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rsidR="003F4DB1" w:rsidRPr="003F4DB1" w:rsidRDefault="003F4DB1">
            <w:pPr>
              <w:spacing w:line="15" w:lineRule="atLeast"/>
              <w:jc w:val="center"/>
              <w:rPr>
                <w:rFonts w:ascii="Arial" w:eastAsia="Times New Roman" w:hAnsi="Arial" w:cs="Arial"/>
              </w:rPr>
            </w:pPr>
            <w:r w:rsidRPr="003F4DB1">
              <w:rPr>
                <w:rFonts w:ascii="Arial" w:eastAsia="Times New Roman" w:hAnsi="Arial" w:cs="Arial"/>
                <w:noProof/>
              </w:rPr>
              <w:drawing>
                <wp:inline distT="0" distB="0" distL="0" distR="0">
                  <wp:extent cx="6350" cy="44450"/>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3F4DB1" w:rsidRPr="003F4DB1" w:rsidRDefault="003F4DB1" w:rsidP="003F4DB1">
      <w:pPr>
        <w:rPr>
          <w:rFonts w:ascii="Arial" w:eastAsia="Times New Roman" w:hAnsi="Arial" w:cs="Arial"/>
          <w:color w:val="000000"/>
        </w:rPr>
      </w:pPr>
      <w:r w:rsidRPr="003F4DB1">
        <w:rPr>
          <w:rFonts w:ascii="Arial" w:eastAsia="Times New Roman" w:hAnsi="Arial" w:cs="Arial"/>
          <w:b/>
          <w:bCs/>
          <w:color w:val="BF3F2F"/>
        </w:rPr>
        <w:t>UGA CAES DEAN VISITS GOLD DOME</w:t>
      </w:r>
    </w:p>
    <w:p w:rsidR="003F4DB1" w:rsidRPr="003F4DB1" w:rsidRDefault="003F4DB1" w:rsidP="003F4DB1">
      <w:pPr>
        <w:rPr>
          <w:rFonts w:ascii="Arial" w:eastAsia="Times New Roman" w:hAnsi="Arial" w:cs="Arial"/>
          <w:color w:val="000000"/>
        </w:rPr>
      </w:pPr>
      <w:r w:rsidRPr="003F4DB1">
        <w:rPr>
          <w:rFonts w:ascii="Arial" w:eastAsia="Times New Roman" w:hAnsi="Arial" w:cs="Arial"/>
          <w:color w:val="000000"/>
        </w:rPr>
        <w:t>New UGA College of Agriculture Dean Nick Place was in Atlanta on Thursday meeting with legislators and other state leaders. Dean Place joined the University of Georgia as dean and director of the College of Agricultural and Environmental Sciences on Jan. 1, 2021.</w:t>
      </w:r>
    </w:p>
    <w:p w:rsidR="003F4DB1" w:rsidRPr="003F4DB1" w:rsidRDefault="003F4DB1" w:rsidP="003F4DB1">
      <w:pPr>
        <w:rPr>
          <w:rFonts w:ascii="Arial" w:eastAsia="Times New Roman" w:hAnsi="Arial" w:cs="Arial"/>
          <w:color w:val="000000"/>
        </w:rPr>
      </w:pPr>
    </w:p>
    <w:p w:rsidR="003F4DB1" w:rsidRPr="003F4DB1" w:rsidRDefault="003F4DB1" w:rsidP="003F4DB1">
      <w:pPr>
        <w:rPr>
          <w:rFonts w:ascii="Arial" w:eastAsia="Times New Roman" w:hAnsi="Arial" w:cs="Arial"/>
          <w:color w:val="000000"/>
        </w:rPr>
      </w:pPr>
      <w:r w:rsidRPr="003F4DB1">
        <w:rPr>
          <w:rFonts w:ascii="Arial" w:eastAsia="Times New Roman" w:hAnsi="Arial" w:cs="Arial"/>
          <w:color w:val="000000"/>
        </w:rPr>
        <w:t>Place previously served as dean and director of the Florida Cooperative Extension Service and a professor in the University of Florida Department of Agricultural Education and Communication from 2012 through 2020.</w:t>
      </w:r>
    </w:p>
    <w:p w:rsidR="003F4DB1" w:rsidRPr="003F4DB1" w:rsidRDefault="003F4DB1" w:rsidP="003F4DB1">
      <w:pPr>
        <w:rPr>
          <w:rFonts w:ascii="Arial" w:eastAsia="Times New Roman" w:hAnsi="Arial" w:cs="Arial"/>
          <w:color w:val="000000"/>
        </w:rPr>
      </w:pPr>
      <w:r w:rsidRPr="003F4DB1">
        <w:rPr>
          <w:rFonts w:ascii="Tahoma" w:eastAsia="Times New Roman" w:hAnsi="Tahoma" w:cs="Tahoma"/>
          <w:color w:val="000000"/>
        </w:rPr>
        <w:t>﻿</w:t>
      </w:r>
    </w:p>
    <w:p w:rsidR="003F4DB1" w:rsidRDefault="003F4DB1" w:rsidP="003F4DB1">
      <w:pPr>
        <w:rPr>
          <w:rFonts w:ascii="Arial" w:eastAsia="Times New Roman" w:hAnsi="Arial" w:cs="Arial"/>
          <w:color w:val="000000"/>
        </w:rPr>
      </w:pPr>
      <w:r w:rsidRPr="003F4DB1">
        <w:rPr>
          <w:rFonts w:ascii="Arial" w:eastAsia="Times New Roman" w:hAnsi="Arial" w:cs="Arial"/>
          <w:color w:val="000000"/>
        </w:rPr>
        <w:t>Prior to speaking before the Senate Agriculture Committee, Dean Place took time to visit with our legislative interns to discuss their experience.</w:t>
      </w:r>
    </w:p>
    <w:p w:rsidR="003F4DB1" w:rsidRDefault="003F4DB1" w:rsidP="003F4DB1">
      <w:pPr>
        <w:rPr>
          <w:rFonts w:ascii="Arial" w:eastAsia="Times New Roman" w:hAnsi="Arial" w:cs="Arial"/>
          <w:color w:val="000000"/>
        </w:rPr>
      </w:pPr>
    </w:p>
    <w:tbl>
      <w:tblPr>
        <w:tblW w:w="5000" w:type="pct"/>
        <w:jc w:val="center"/>
        <w:tblCellMar>
          <w:left w:w="0" w:type="dxa"/>
          <w:right w:w="0" w:type="dxa"/>
        </w:tblCellMar>
        <w:tblLook w:val="04A0" w:firstRow="1" w:lastRow="0" w:firstColumn="1" w:lastColumn="0" w:noHBand="0" w:noVBand="1"/>
      </w:tblPr>
      <w:tblGrid>
        <w:gridCol w:w="9360"/>
      </w:tblGrid>
      <w:tr w:rsidR="003F4DB1" w:rsidRPr="003F4DB1" w:rsidTr="003F4DB1">
        <w:trPr>
          <w:jc w:val="center"/>
        </w:trPr>
        <w:tc>
          <w:tcPr>
            <w:tcW w:w="5000" w:type="pct"/>
            <w:shd w:val="clear" w:color="auto" w:fill="000000"/>
            <w:hideMark/>
          </w:tcPr>
          <w:p w:rsidR="003F4DB1" w:rsidRPr="003F4DB1" w:rsidRDefault="003F4DB1" w:rsidP="00D46682">
            <w:pPr>
              <w:spacing w:line="15" w:lineRule="atLeast"/>
              <w:jc w:val="center"/>
              <w:rPr>
                <w:rFonts w:ascii="Arial" w:eastAsia="Times New Roman" w:hAnsi="Arial" w:cs="Arial"/>
              </w:rPr>
            </w:pPr>
            <w:r w:rsidRPr="003F4DB1">
              <w:rPr>
                <w:rFonts w:ascii="Arial" w:eastAsia="Times New Roman" w:hAnsi="Arial" w:cs="Arial"/>
                <w:noProof/>
              </w:rPr>
              <w:drawing>
                <wp:inline distT="0" distB="0" distL="0" distR="0" wp14:anchorId="6CDAD553" wp14:editId="2236B21D">
                  <wp:extent cx="44450" cy="6350"/>
                  <wp:effectExtent l="0" t="0" r="0" b="0"/>
                  <wp:docPr id="13" name="Picture 1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F4DB1" w:rsidRPr="003F4DB1" w:rsidTr="003F4DB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F4DB1" w:rsidRPr="003F4DB1">
              <w:tc>
                <w:tcPr>
                  <w:tcW w:w="0" w:type="auto"/>
                  <w:tcMar>
                    <w:top w:w="150" w:type="dxa"/>
                    <w:left w:w="300" w:type="dxa"/>
                    <w:bottom w:w="150" w:type="dxa"/>
                    <w:right w:w="300" w:type="dxa"/>
                  </w:tcMar>
                </w:tcPr>
                <w:tbl>
                  <w:tblPr>
                    <w:tblpPr w:leftFromText="30" w:rightFromText="115" w:vertAnchor="text"/>
                    <w:tblW w:w="0" w:type="auto"/>
                    <w:tblCellMar>
                      <w:left w:w="0" w:type="dxa"/>
                      <w:right w:w="0" w:type="dxa"/>
                    </w:tblCellMar>
                    <w:tblLook w:val="04A0" w:firstRow="1" w:lastRow="0" w:firstColumn="1" w:lastColumn="0" w:noHBand="0" w:noVBand="1"/>
                  </w:tblPr>
                  <w:tblGrid>
                    <w:gridCol w:w="4140"/>
                    <w:gridCol w:w="225"/>
                  </w:tblGrid>
                  <w:tr w:rsidR="003F4DB1" w:rsidRPr="003F4DB1">
                    <w:trPr>
                      <w:trHeight w:val="15"/>
                    </w:trPr>
                    <w:tc>
                      <w:tcPr>
                        <w:tcW w:w="0" w:type="auto"/>
                        <w:hideMark/>
                      </w:tcPr>
                      <w:p w:rsidR="003F4DB1" w:rsidRPr="003F4DB1" w:rsidRDefault="003F4DB1">
                        <w:pPr>
                          <w:jc w:val="center"/>
                          <w:rPr>
                            <w:rFonts w:ascii="Arial" w:eastAsia="Times New Roman" w:hAnsi="Arial" w:cs="Arial"/>
                          </w:rPr>
                        </w:pPr>
                        <w:r w:rsidRPr="003F4DB1">
                          <w:rPr>
                            <w:rFonts w:ascii="Arial" w:eastAsia="Times New Roman" w:hAnsi="Arial" w:cs="Arial"/>
                            <w:noProof/>
                          </w:rPr>
                          <w:drawing>
                            <wp:inline distT="0" distB="0" distL="0" distR="0">
                              <wp:extent cx="2622550" cy="1581150"/>
                              <wp:effectExtent l="0" t="0" r="6350" b="0"/>
                              <wp:docPr id="8" name="Picture 8" descr="https://files.constantcontact.com/d2766818501/258b6daf-011c-4805-961f-fe5e1fbcd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constantcontact.com/d2766818501/258b6daf-011c-4805-961f-fe5e1fbcda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2550" cy="1581150"/>
                                      </a:xfrm>
                                      <a:prstGeom prst="rect">
                                        <a:avLst/>
                                      </a:prstGeom>
                                      <a:noFill/>
                                      <a:ln>
                                        <a:noFill/>
                                      </a:ln>
                                    </pic:spPr>
                                  </pic:pic>
                                </a:graphicData>
                              </a:graphic>
                            </wp:inline>
                          </w:drawing>
                        </w:r>
                      </w:p>
                    </w:tc>
                    <w:tc>
                      <w:tcPr>
                        <w:tcW w:w="225" w:type="dxa"/>
                        <w:hideMark/>
                      </w:tcPr>
                      <w:p w:rsidR="003F4DB1" w:rsidRPr="003F4DB1" w:rsidRDefault="003F4DB1">
                        <w:pPr>
                          <w:spacing w:line="15" w:lineRule="atLeast"/>
                          <w:jc w:val="center"/>
                          <w:rPr>
                            <w:rFonts w:ascii="Arial" w:eastAsia="Times New Roman" w:hAnsi="Arial" w:cs="Arial"/>
                          </w:rPr>
                        </w:pPr>
                        <w:r w:rsidRPr="003F4DB1">
                          <w:rPr>
                            <w:rFonts w:ascii="Arial" w:eastAsia="Times New Roman" w:hAnsi="Arial" w:cs="Arial"/>
                            <w:noProof/>
                          </w:rPr>
                          <w:drawing>
                            <wp:inline distT="0" distB="0" distL="0" distR="0">
                              <wp:extent cx="139700" cy="6350"/>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r>
                  <w:tr w:rsidR="003F4DB1" w:rsidRPr="003F4DB1">
                    <w:trPr>
                      <w:trHeight w:val="15"/>
                    </w:trPr>
                    <w:tc>
                      <w:tcPr>
                        <w:tcW w:w="0" w:type="auto"/>
                        <w:hideMark/>
                      </w:tcPr>
                      <w:p w:rsidR="003F4DB1" w:rsidRPr="003F4DB1" w:rsidRDefault="003F4DB1">
                        <w:pPr>
                          <w:spacing w:line="15" w:lineRule="atLeast"/>
                          <w:jc w:val="center"/>
                          <w:rPr>
                            <w:rFonts w:ascii="Arial" w:eastAsia="Times New Roman" w:hAnsi="Arial" w:cs="Arial"/>
                          </w:rPr>
                        </w:pPr>
                        <w:r w:rsidRPr="003F4DB1">
                          <w:rPr>
                            <w:rFonts w:ascii="Arial" w:eastAsia="Times New Roman" w:hAnsi="Arial" w:cs="Arial"/>
                            <w:noProof/>
                          </w:rPr>
                          <w:drawing>
                            <wp:inline distT="0" distB="0" distL="0" distR="0">
                              <wp:extent cx="6350" cy="44450"/>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c>
                      <w:tcPr>
                        <w:tcW w:w="75" w:type="dxa"/>
                        <w:hideMark/>
                      </w:tcPr>
                      <w:p w:rsidR="003F4DB1" w:rsidRPr="003F4DB1" w:rsidRDefault="003F4DB1">
                        <w:pPr>
                          <w:spacing w:line="15" w:lineRule="atLeast"/>
                          <w:jc w:val="center"/>
                          <w:rPr>
                            <w:rFonts w:ascii="Arial" w:eastAsia="Times New Roman" w:hAnsi="Arial" w:cs="Arial"/>
                          </w:rPr>
                        </w:pPr>
                        <w:r w:rsidRPr="003F4DB1">
                          <w:rPr>
                            <w:rFonts w:ascii="Arial" w:eastAsia="Times New Roman" w:hAnsi="Arial" w:cs="Arial"/>
                            <w:noProof/>
                          </w:rPr>
                          <w:drawing>
                            <wp:inline distT="0" distB="0" distL="0" distR="0">
                              <wp:extent cx="44450" cy="6350"/>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F4DB1" w:rsidRPr="003F4DB1" w:rsidRDefault="003F4DB1">
                  <w:pPr>
                    <w:rPr>
                      <w:rFonts w:ascii="Arial" w:eastAsia="Times New Roman" w:hAnsi="Arial" w:cs="Arial"/>
                      <w:color w:val="000000"/>
                    </w:rPr>
                  </w:pPr>
                  <w:r w:rsidRPr="003F4DB1">
                    <w:rPr>
                      <w:rFonts w:ascii="Arial" w:eastAsia="Times New Roman" w:hAnsi="Arial" w:cs="Arial"/>
                      <w:b/>
                      <w:bCs/>
                      <w:color w:val="BF3F2F"/>
                    </w:rPr>
                    <w:t>AMENDED BUDGET PASSED IN HOUSE</w:t>
                  </w:r>
                </w:p>
                <w:p w:rsidR="003F4DB1" w:rsidRPr="003F4DB1" w:rsidRDefault="003F4DB1">
                  <w:pPr>
                    <w:rPr>
                      <w:rFonts w:ascii="Arial" w:eastAsia="Times New Roman" w:hAnsi="Arial" w:cs="Arial"/>
                      <w:color w:val="000000"/>
                    </w:rPr>
                  </w:pPr>
                  <w:r w:rsidRPr="003F4DB1">
                    <w:rPr>
                      <w:rFonts w:ascii="Arial" w:eastAsia="Times New Roman" w:hAnsi="Arial" w:cs="Arial"/>
                      <w:color w:val="000000"/>
                    </w:rPr>
                    <w:t xml:space="preserve">The House of Representatives passed House Bill 80, the Supplemental Appropriations State budget for the fiscal year 20-21 during this week's legislative session. </w:t>
                  </w:r>
                  <w:proofErr w:type="gramStart"/>
                  <w:r w:rsidRPr="003F4DB1">
                    <w:rPr>
                      <w:rFonts w:ascii="Arial" w:eastAsia="Times New Roman" w:hAnsi="Arial" w:cs="Arial"/>
                      <w:b/>
                      <w:bCs/>
                      <w:color w:val="000000"/>
                    </w:rPr>
                    <w:t>Chairman</w:t>
                  </w:r>
                  <w:proofErr w:type="gramEnd"/>
                  <w:r w:rsidRPr="003F4DB1">
                    <w:rPr>
                      <w:rFonts w:ascii="Arial" w:eastAsia="Times New Roman" w:hAnsi="Arial" w:cs="Arial"/>
                      <w:b/>
                      <w:bCs/>
                      <w:color w:val="000000"/>
                    </w:rPr>
                    <w:t xml:space="preserve"> of the Appropriations Committee, Terry England,</w:t>
                  </w:r>
                  <w:r w:rsidRPr="003F4DB1">
                    <w:rPr>
                      <w:rFonts w:ascii="Arial" w:eastAsia="Times New Roman" w:hAnsi="Arial" w:cs="Arial"/>
                      <w:color w:val="000000"/>
                    </w:rPr>
                    <w:t xml:space="preserve"> led the discussion regarding the fiscal changes to the State budget. The balanced budget </w:t>
                  </w:r>
                  <w:proofErr w:type="gramStart"/>
                  <w:r w:rsidRPr="003F4DB1">
                    <w:rPr>
                      <w:rFonts w:ascii="Arial" w:eastAsia="Times New Roman" w:hAnsi="Arial" w:cs="Arial"/>
                      <w:color w:val="000000"/>
                    </w:rPr>
                    <w:t>was amended</w:t>
                  </w:r>
                  <w:proofErr w:type="gramEnd"/>
                  <w:r w:rsidRPr="003F4DB1">
                    <w:rPr>
                      <w:rFonts w:ascii="Arial" w:eastAsia="Times New Roman" w:hAnsi="Arial" w:cs="Arial"/>
                      <w:color w:val="000000"/>
                    </w:rPr>
                    <w:t xml:space="preserve">, and funding was added predominately to areas in education, one-time expenditures, and emergency needs. </w:t>
                  </w:r>
                </w:p>
                <w:p w:rsidR="003F4DB1" w:rsidRPr="003F4DB1" w:rsidRDefault="003F4DB1">
                  <w:pPr>
                    <w:rPr>
                      <w:rFonts w:ascii="Arial" w:eastAsia="Times New Roman" w:hAnsi="Arial" w:cs="Arial"/>
                      <w:color w:val="000000"/>
                    </w:rPr>
                  </w:pPr>
                </w:p>
                <w:p w:rsidR="003F4DB1" w:rsidRPr="003F4DB1" w:rsidRDefault="003F4DB1">
                  <w:pPr>
                    <w:rPr>
                      <w:rFonts w:ascii="Arial" w:eastAsia="Times New Roman" w:hAnsi="Arial" w:cs="Arial"/>
                      <w:color w:val="000000"/>
                    </w:rPr>
                  </w:pPr>
                  <w:r w:rsidRPr="003F4DB1">
                    <w:rPr>
                      <w:rFonts w:ascii="Tahoma" w:eastAsia="Times New Roman" w:hAnsi="Tahoma" w:cs="Tahoma"/>
                      <w:color w:val="000000"/>
                    </w:rPr>
                    <w:t>﻿</w:t>
                  </w:r>
                  <w:r w:rsidRPr="003F4DB1">
                    <w:rPr>
                      <w:rFonts w:ascii="Arial" w:eastAsia="Times New Roman" w:hAnsi="Arial" w:cs="Arial"/>
                      <w:color w:val="000000"/>
                    </w:rPr>
                    <w:t xml:space="preserve">Highlights Include: </w:t>
                  </w:r>
                </w:p>
                <w:p w:rsidR="003F4DB1" w:rsidRPr="003F4DB1" w:rsidRDefault="003F4DB1" w:rsidP="00D46682">
                  <w:pPr>
                    <w:numPr>
                      <w:ilvl w:val="0"/>
                      <w:numId w:val="1"/>
                    </w:numPr>
                    <w:ind w:left="600" w:hanging="240"/>
                    <w:rPr>
                      <w:rFonts w:ascii="Arial" w:eastAsia="Times New Roman" w:hAnsi="Arial" w:cs="Arial"/>
                      <w:color w:val="000000"/>
                    </w:rPr>
                  </w:pPr>
                  <w:r w:rsidRPr="003F4DB1">
                    <w:rPr>
                      <w:rFonts w:ascii="Arial" w:eastAsia="Times New Roman" w:hAnsi="Arial" w:cs="Arial"/>
                      <w:color w:val="000000"/>
                    </w:rPr>
                    <w:t>50% of the budget pertains to K-12, higher, and technical education</w:t>
                  </w:r>
                </w:p>
                <w:p w:rsidR="003F4DB1" w:rsidRPr="003F4DB1" w:rsidRDefault="003F4DB1" w:rsidP="00D46682">
                  <w:pPr>
                    <w:numPr>
                      <w:ilvl w:val="0"/>
                      <w:numId w:val="1"/>
                    </w:numPr>
                    <w:ind w:left="600" w:hanging="240"/>
                    <w:rPr>
                      <w:rFonts w:ascii="Arial" w:eastAsia="Times New Roman" w:hAnsi="Arial" w:cs="Arial"/>
                      <w:color w:val="000000"/>
                    </w:rPr>
                  </w:pPr>
                  <w:r w:rsidRPr="003F4DB1">
                    <w:rPr>
                      <w:rFonts w:ascii="Arial" w:eastAsia="Times New Roman" w:hAnsi="Arial" w:cs="Arial"/>
                      <w:color w:val="000000"/>
                    </w:rPr>
                    <w:t>$20 million for rural broadband initiatives </w:t>
                  </w:r>
                </w:p>
                <w:p w:rsidR="003F4DB1" w:rsidRPr="003F4DB1" w:rsidRDefault="003F4DB1" w:rsidP="00D46682">
                  <w:pPr>
                    <w:numPr>
                      <w:ilvl w:val="0"/>
                      <w:numId w:val="1"/>
                    </w:numPr>
                    <w:ind w:left="600" w:hanging="240"/>
                    <w:rPr>
                      <w:rFonts w:ascii="Arial" w:eastAsia="Times New Roman" w:hAnsi="Arial" w:cs="Arial"/>
                      <w:color w:val="000000"/>
                    </w:rPr>
                  </w:pPr>
                  <w:r w:rsidRPr="003F4DB1">
                    <w:rPr>
                      <w:rFonts w:ascii="Arial" w:eastAsia="Times New Roman" w:hAnsi="Arial" w:cs="Arial"/>
                      <w:color w:val="000000"/>
                    </w:rPr>
                    <w:t>Includes additional funds for the Hemp and medical cannabis programs </w:t>
                  </w:r>
                </w:p>
                <w:p w:rsidR="003F4DB1" w:rsidRPr="003F4DB1" w:rsidRDefault="003F4DB1" w:rsidP="00D46682">
                  <w:pPr>
                    <w:numPr>
                      <w:ilvl w:val="0"/>
                      <w:numId w:val="1"/>
                    </w:numPr>
                    <w:ind w:left="600" w:hanging="240"/>
                    <w:rPr>
                      <w:rFonts w:ascii="Arial" w:eastAsia="Times New Roman" w:hAnsi="Arial" w:cs="Arial"/>
                      <w:color w:val="000000"/>
                    </w:rPr>
                  </w:pPr>
                  <w:r w:rsidRPr="003F4DB1">
                    <w:rPr>
                      <w:rFonts w:ascii="Arial" w:eastAsia="Times New Roman" w:hAnsi="Arial" w:cs="Arial"/>
                      <w:color w:val="000000"/>
                    </w:rPr>
                    <w:lastRenderedPageBreak/>
                    <w:t>$748,448 Vehicle Replacement within the Department of Agriculture </w:t>
                  </w:r>
                </w:p>
                <w:p w:rsidR="003F4DB1" w:rsidRPr="003F4DB1" w:rsidRDefault="003F4DB1" w:rsidP="00D46682">
                  <w:pPr>
                    <w:numPr>
                      <w:ilvl w:val="0"/>
                      <w:numId w:val="1"/>
                    </w:numPr>
                    <w:ind w:left="600" w:hanging="240"/>
                    <w:rPr>
                      <w:rFonts w:ascii="Arial" w:eastAsia="Times New Roman" w:hAnsi="Arial" w:cs="Arial"/>
                      <w:color w:val="000000"/>
                    </w:rPr>
                  </w:pPr>
                  <w:r w:rsidRPr="003F4DB1">
                    <w:rPr>
                      <w:rFonts w:ascii="Arial" w:eastAsia="Times New Roman" w:hAnsi="Arial" w:cs="Arial"/>
                      <w:color w:val="000000"/>
                    </w:rPr>
                    <w:t>Funding for State farmers markets in south GA including Savannah and Thomasville</w:t>
                  </w:r>
                </w:p>
                <w:p w:rsidR="003F4DB1" w:rsidRPr="003F4DB1" w:rsidRDefault="003F4DB1" w:rsidP="00D46682">
                  <w:pPr>
                    <w:numPr>
                      <w:ilvl w:val="0"/>
                      <w:numId w:val="1"/>
                    </w:numPr>
                    <w:ind w:left="600" w:hanging="240"/>
                    <w:rPr>
                      <w:rFonts w:ascii="Arial" w:eastAsia="Times New Roman" w:hAnsi="Arial" w:cs="Arial"/>
                      <w:color w:val="000000"/>
                    </w:rPr>
                  </w:pPr>
                  <w:r w:rsidRPr="003F4DB1">
                    <w:rPr>
                      <w:rFonts w:ascii="Arial" w:eastAsia="Times New Roman" w:hAnsi="Arial" w:cs="Arial"/>
                      <w:color w:val="000000"/>
                    </w:rPr>
                    <w:t xml:space="preserve">$2,851,620 for the Agriculture Experiment Stations </w:t>
                  </w:r>
                </w:p>
                <w:p w:rsidR="003F4DB1" w:rsidRPr="003F4DB1" w:rsidRDefault="003F4DB1" w:rsidP="00D46682">
                  <w:pPr>
                    <w:numPr>
                      <w:ilvl w:val="0"/>
                      <w:numId w:val="1"/>
                    </w:numPr>
                    <w:ind w:left="600" w:hanging="240"/>
                    <w:rPr>
                      <w:rFonts w:ascii="Arial" w:eastAsia="Times New Roman" w:hAnsi="Arial" w:cs="Arial"/>
                      <w:color w:val="000000"/>
                    </w:rPr>
                  </w:pPr>
                  <w:r w:rsidRPr="003F4DB1">
                    <w:rPr>
                      <w:rFonts w:ascii="Arial" w:eastAsia="Times New Roman" w:hAnsi="Arial" w:cs="Arial"/>
                      <w:color w:val="000000"/>
                    </w:rPr>
                    <w:t>$2,652,325 to Cooperative Extension Service received for operations</w:t>
                  </w:r>
                </w:p>
                <w:p w:rsidR="003F4DB1" w:rsidRPr="003F4DB1" w:rsidRDefault="003F4DB1" w:rsidP="00D46682">
                  <w:pPr>
                    <w:numPr>
                      <w:ilvl w:val="0"/>
                      <w:numId w:val="1"/>
                    </w:numPr>
                    <w:ind w:left="600" w:hanging="240"/>
                    <w:rPr>
                      <w:rFonts w:ascii="Arial" w:eastAsia="Times New Roman" w:hAnsi="Arial" w:cs="Arial"/>
                      <w:color w:val="000000"/>
                    </w:rPr>
                  </w:pPr>
                  <w:r w:rsidRPr="003F4DB1">
                    <w:rPr>
                      <w:rFonts w:ascii="Arial" w:eastAsia="Times New Roman" w:hAnsi="Arial" w:cs="Arial"/>
                      <w:color w:val="000000"/>
                    </w:rPr>
                    <w:t>Full restoration for Ag education and technical education funds</w:t>
                  </w:r>
                </w:p>
              </w:tc>
            </w:tr>
          </w:tbl>
          <w:p w:rsidR="003F4DB1" w:rsidRPr="003F4DB1" w:rsidRDefault="003F4DB1">
            <w:pPr>
              <w:rPr>
                <w:rFonts w:ascii="Arial" w:eastAsia="Times New Roman" w:hAnsi="Arial" w:cs="Arial"/>
              </w:rPr>
            </w:pPr>
          </w:p>
        </w:tc>
      </w:tr>
    </w:tbl>
    <w:p w:rsidR="003F4DB1" w:rsidRPr="003F4DB1" w:rsidRDefault="003F4DB1" w:rsidP="003F4DB1">
      <w:pPr>
        <w:jc w:val="center"/>
        <w:rPr>
          <w:rFonts w:ascii="Arial" w:eastAsia="Times New Roman" w:hAnsi="Arial" w:cs="Arial"/>
          <w:vanish/>
        </w:rPr>
      </w:pPr>
    </w:p>
    <w:tbl>
      <w:tblPr>
        <w:tblW w:w="5000" w:type="pct"/>
        <w:jc w:val="center"/>
        <w:tblCellMar>
          <w:left w:w="0" w:type="dxa"/>
          <w:right w:w="0" w:type="dxa"/>
        </w:tblCellMar>
        <w:tblLook w:val="04A0" w:firstRow="1" w:lastRow="0" w:firstColumn="1" w:lastColumn="0" w:noHBand="0" w:noVBand="1"/>
      </w:tblPr>
      <w:tblGrid>
        <w:gridCol w:w="9360"/>
      </w:tblGrid>
      <w:tr w:rsidR="003F4DB1" w:rsidRPr="003F4DB1" w:rsidTr="003F4DB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F4DB1" w:rsidRPr="003F4DB1">
              <w:tc>
                <w:tcPr>
                  <w:tcW w:w="0" w:type="auto"/>
                  <w:hideMark/>
                </w:tcPr>
                <w:tbl>
                  <w:tblPr>
                    <w:tblW w:w="5000" w:type="pct"/>
                    <w:jc w:val="center"/>
                    <w:tblLook w:val="04A0" w:firstRow="1" w:lastRow="0" w:firstColumn="1" w:lastColumn="0" w:noHBand="0" w:noVBand="1"/>
                  </w:tblPr>
                  <w:tblGrid>
                    <w:gridCol w:w="9360"/>
                  </w:tblGrid>
                  <w:tr w:rsidR="003F4DB1" w:rsidRPr="003F4DB1">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3F4DB1" w:rsidRPr="003F4DB1">
                          <w:trPr>
                            <w:trHeight w:val="15"/>
                            <w:jc w:val="center"/>
                          </w:trPr>
                          <w:tc>
                            <w:tcPr>
                              <w:tcW w:w="0" w:type="auto"/>
                              <w:shd w:val="clear" w:color="auto" w:fill="000000"/>
                              <w:tcMar>
                                <w:top w:w="0" w:type="dxa"/>
                                <w:left w:w="0" w:type="dxa"/>
                                <w:bottom w:w="45" w:type="dxa"/>
                                <w:right w:w="0" w:type="dxa"/>
                              </w:tcMar>
                              <w:vAlign w:val="center"/>
                              <w:hideMark/>
                            </w:tcPr>
                            <w:p w:rsidR="003F4DB1" w:rsidRPr="003F4DB1" w:rsidRDefault="003F4DB1">
                              <w:pPr>
                                <w:spacing w:line="15" w:lineRule="atLeast"/>
                                <w:jc w:val="center"/>
                                <w:rPr>
                                  <w:rFonts w:ascii="Arial" w:eastAsia="Times New Roman" w:hAnsi="Arial" w:cs="Arial"/>
                                </w:rPr>
                              </w:pPr>
                              <w:r w:rsidRPr="003F4DB1">
                                <w:rPr>
                                  <w:rFonts w:ascii="Arial" w:eastAsia="Times New Roman" w:hAnsi="Arial" w:cs="Arial"/>
                                  <w:noProof/>
                                </w:rPr>
                                <w:drawing>
                                  <wp:inline distT="0" distB="0" distL="0" distR="0">
                                    <wp:extent cx="44450" cy="6350"/>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F4DB1" w:rsidRPr="003F4DB1" w:rsidRDefault="003F4DB1">
                        <w:pPr>
                          <w:jc w:val="center"/>
                          <w:rPr>
                            <w:rFonts w:ascii="Arial" w:eastAsia="Times New Roman" w:hAnsi="Arial" w:cs="Arial"/>
                          </w:rPr>
                        </w:pPr>
                      </w:p>
                    </w:tc>
                  </w:tr>
                </w:tbl>
                <w:p w:rsidR="003F4DB1" w:rsidRPr="003F4DB1" w:rsidRDefault="003F4DB1">
                  <w:pPr>
                    <w:jc w:val="center"/>
                    <w:rPr>
                      <w:rFonts w:ascii="Arial" w:eastAsia="Times New Roman" w:hAnsi="Arial" w:cs="Arial"/>
                    </w:rPr>
                  </w:pPr>
                </w:p>
              </w:tc>
            </w:tr>
          </w:tbl>
          <w:p w:rsidR="003F4DB1" w:rsidRPr="003F4DB1" w:rsidRDefault="003F4DB1">
            <w:pPr>
              <w:rPr>
                <w:rFonts w:ascii="Arial" w:eastAsia="Times New Roman" w:hAnsi="Arial" w:cs="Arial"/>
              </w:rPr>
            </w:pPr>
          </w:p>
        </w:tc>
      </w:tr>
    </w:tbl>
    <w:p w:rsidR="003F4DB1" w:rsidRPr="003F4DB1" w:rsidRDefault="003F4DB1" w:rsidP="003F4DB1">
      <w:pPr>
        <w:jc w:val="center"/>
        <w:rPr>
          <w:rFonts w:ascii="Arial" w:eastAsia="Times New Roman" w:hAnsi="Arial" w:cs="Arial"/>
          <w:vanish/>
        </w:rPr>
      </w:pPr>
    </w:p>
    <w:tbl>
      <w:tblPr>
        <w:tblW w:w="5000" w:type="pct"/>
        <w:jc w:val="center"/>
        <w:tblCellMar>
          <w:left w:w="0" w:type="dxa"/>
          <w:right w:w="0" w:type="dxa"/>
        </w:tblCellMar>
        <w:tblLook w:val="04A0" w:firstRow="1" w:lastRow="0" w:firstColumn="1" w:lastColumn="0" w:noHBand="0" w:noVBand="1"/>
      </w:tblPr>
      <w:tblGrid>
        <w:gridCol w:w="9360"/>
      </w:tblGrid>
      <w:tr w:rsidR="003F4DB1" w:rsidRPr="003F4DB1" w:rsidTr="003F4DB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F4DB1" w:rsidRPr="003F4DB1">
              <w:tc>
                <w:tcPr>
                  <w:tcW w:w="0" w:type="auto"/>
                  <w:tcMar>
                    <w:top w:w="150" w:type="dxa"/>
                    <w:left w:w="300" w:type="dxa"/>
                    <w:bottom w:w="150" w:type="dxa"/>
                    <w:right w:w="300" w:type="dxa"/>
                  </w:tcMar>
                  <w:hideMark/>
                </w:tcPr>
                <w:p w:rsidR="003F4DB1" w:rsidRPr="003F4DB1" w:rsidRDefault="003F4DB1">
                  <w:pPr>
                    <w:rPr>
                      <w:rFonts w:ascii="Arial" w:eastAsia="Times New Roman" w:hAnsi="Arial" w:cs="Arial"/>
                      <w:color w:val="000000"/>
                    </w:rPr>
                  </w:pPr>
                  <w:r w:rsidRPr="003F4DB1">
                    <w:rPr>
                      <w:rFonts w:ascii="Arial" w:eastAsia="Times New Roman" w:hAnsi="Arial" w:cs="Arial"/>
                      <w:b/>
                      <w:bCs/>
                      <w:color w:val="BF3F2F"/>
                    </w:rPr>
                    <w:t>COVID LIABILITY BILL INTRODUCED</w:t>
                  </w:r>
                </w:p>
                <w:p w:rsidR="003F4DB1" w:rsidRPr="003F4DB1" w:rsidRDefault="003F4DB1">
                  <w:pPr>
                    <w:rPr>
                      <w:rFonts w:ascii="Arial" w:eastAsia="Times New Roman" w:hAnsi="Arial" w:cs="Arial"/>
                      <w:color w:val="000000"/>
                    </w:rPr>
                  </w:pPr>
                  <w:r w:rsidRPr="003F4DB1">
                    <w:rPr>
                      <w:rFonts w:ascii="Arial" w:eastAsia="Times New Roman" w:hAnsi="Arial" w:cs="Arial"/>
                      <w:b/>
                      <w:bCs/>
                      <w:color w:val="000000"/>
                    </w:rPr>
                    <w:t xml:space="preserve">Majority Whip, Trey Kelley </w:t>
                  </w:r>
                  <w:r w:rsidRPr="003F4DB1">
                    <w:rPr>
                      <w:rFonts w:ascii="Arial" w:eastAsia="Times New Roman" w:hAnsi="Arial" w:cs="Arial"/>
                      <w:color w:val="000000"/>
                    </w:rPr>
                    <w:t xml:space="preserve">- Cedartown, submitted </w:t>
                  </w:r>
                  <w:r w:rsidRPr="003F4DB1">
                    <w:rPr>
                      <w:rFonts w:ascii="Arial" w:eastAsia="Times New Roman" w:hAnsi="Arial" w:cs="Arial"/>
                      <w:b/>
                      <w:bCs/>
                      <w:color w:val="000000"/>
                    </w:rPr>
                    <w:t>HB 112</w:t>
                  </w:r>
                  <w:r w:rsidRPr="003F4DB1">
                    <w:rPr>
                      <w:rFonts w:ascii="Arial" w:eastAsia="Times New Roman" w:hAnsi="Arial" w:cs="Arial"/>
                      <w:color w:val="000000"/>
                    </w:rPr>
                    <w:t xml:space="preserve"> to extend the extremely important COVID-19 liability protections for Georgia businesses and hospitals that </w:t>
                  </w:r>
                  <w:proofErr w:type="gramStart"/>
                  <w:r w:rsidRPr="003F4DB1">
                    <w:rPr>
                      <w:rFonts w:ascii="Arial" w:eastAsia="Times New Roman" w:hAnsi="Arial" w:cs="Arial"/>
                      <w:color w:val="000000"/>
                    </w:rPr>
                    <w:t>was passed</w:t>
                  </w:r>
                  <w:proofErr w:type="gramEnd"/>
                  <w:r w:rsidRPr="003F4DB1">
                    <w:rPr>
                      <w:rFonts w:ascii="Arial" w:eastAsia="Times New Roman" w:hAnsi="Arial" w:cs="Arial"/>
                      <w:color w:val="000000"/>
                    </w:rPr>
                    <w:t xml:space="preserve"> last year. This legislation was a priority issue for GAC in 2020 and has continued to be as the pandemic rages on. The new protections </w:t>
                  </w:r>
                  <w:proofErr w:type="gramStart"/>
                  <w:r w:rsidRPr="003F4DB1">
                    <w:rPr>
                      <w:rFonts w:ascii="Arial" w:eastAsia="Times New Roman" w:hAnsi="Arial" w:cs="Arial"/>
                      <w:color w:val="000000"/>
                    </w:rPr>
                    <w:t>would be extended</w:t>
                  </w:r>
                  <w:proofErr w:type="gramEnd"/>
                  <w:r w:rsidRPr="003F4DB1">
                    <w:rPr>
                      <w:rFonts w:ascii="Arial" w:eastAsia="Times New Roman" w:hAnsi="Arial" w:cs="Arial"/>
                      <w:color w:val="000000"/>
                    </w:rPr>
                    <w:t xml:space="preserve"> until July 14, 2022, under the bill that has been assigned to the House Judiciary Committee. The liability protections have shielded businesses and health-care facilities in Georgia from lawsuits brought by people who contract COVID-19 in all but the worst negligence or recklessness cases. To read the full legislation, </w:t>
                  </w:r>
                  <w:hyperlink r:id="rId8" w:tgtFrame="_blank" w:history="1">
                    <w:r w:rsidRPr="003F4DB1">
                      <w:rPr>
                        <w:rStyle w:val="Hyperlink"/>
                        <w:rFonts w:ascii="Arial" w:eastAsia="Times New Roman" w:hAnsi="Arial" w:cs="Arial"/>
                        <w:b/>
                        <w:bCs/>
                        <w:color w:val="45B3CA"/>
                      </w:rPr>
                      <w:t>click here.</w:t>
                    </w:r>
                  </w:hyperlink>
                  <w:r w:rsidRPr="003F4DB1">
                    <w:rPr>
                      <w:rFonts w:ascii="Arial" w:eastAsia="Times New Roman" w:hAnsi="Arial" w:cs="Arial"/>
                      <w:color w:val="000000"/>
                    </w:rPr>
                    <w:t xml:space="preserve"> </w:t>
                  </w:r>
                </w:p>
              </w:tc>
            </w:tr>
          </w:tbl>
          <w:p w:rsidR="003F4DB1" w:rsidRPr="003F4DB1" w:rsidRDefault="003F4DB1">
            <w:pPr>
              <w:rPr>
                <w:rFonts w:ascii="Arial" w:eastAsia="Times New Roman" w:hAnsi="Arial" w:cs="Arial"/>
              </w:rPr>
            </w:pPr>
          </w:p>
        </w:tc>
      </w:tr>
      <w:tr w:rsidR="003F4DB1" w:rsidRPr="003F4DB1" w:rsidTr="003F4DB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F4DB1" w:rsidRPr="003F4DB1">
              <w:tc>
                <w:tcPr>
                  <w:tcW w:w="0" w:type="auto"/>
                  <w:tcMar>
                    <w:top w:w="150" w:type="dxa"/>
                    <w:left w:w="300" w:type="dxa"/>
                    <w:bottom w:w="150" w:type="dxa"/>
                    <w:right w:w="150" w:type="dxa"/>
                  </w:tcMar>
                </w:tcPr>
                <w:p w:rsidR="003F4DB1" w:rsidRPr="003F4DB1" w:rsidRDefault="003F4DB1">
                  <w:pPr>
                    <w:rPr>
                      <w:rFonts w:ascii="Arial" w:eastAsia="Times New Roman" w:hAnsi="Arial" w:cs="Arial"/>
                      <w:color w:val="000000"/>
                    </w:rPr>
                  </w:pPr>
                  <w:r w:rsidRPr="003F4DB1">
                    <w:rPr>
                      <w:rFonts w:ascii="Arial" w:eastAsia="Times New Roman" w:hAnsi="Arial" w:cs="Arial"/>
                      <w:b/>
                      <w:bCs/>
                      <w:color w:val="BF3F2F"/>
                    </w:rPr>
                    <w:t>BILLS OF INTEREST</w:t>
                  </w:r>
                </w:p>
                <w:p w:rsidR="003F4DB1" w:rsidRPr="003F4DB1" w:rsidRDefault="003F4DB1">
                  <w:pPr>
                    <w:rPr>
                      <w:rFonts w:ascii="Arial" w:eastAsia="Times New Roman" w:hAnsi="Arial" w:cs="Arial"/>
                      <w:color w:val="000000"/>
                    </w:rPr>
                  </w:pPr>
                </w:p>
                <w:p w:rsidR="003F4DB1" w:rsidRPr="003F4DB1" w:rsidRDefault="003F4DB1">
                  <w:pPr>
                    <w:rPr>
                      <w:rFonts w:ascii="Arial" w:eastAsia="Times New Roman" w:hAnsi="Arial" w:cs="Arial"/>
                      <w:color w:val="000000"/>
                    </w:rPr>
                  </w:pPr>
                  <w:r w:rsidRPr="003F4DB1">
                    <w:rPr>
                      <w:rFonts w:ascii="Arial" w:eastAsia="Times New Roman" w:hAnsi="Arial" w:cs="Arial"/>
                      <w:b/>
                      <w:bCs/>
                      <w:color w:val="0D4F1D"/>
                      <w:u w:val="single"/>
                    </w:rPr>
                    <w:t>SENATE BILLS</w:t>
                  </w:r>
                </w:p>
                <w:p w:rsidR="003F4DB1" w:rsidRPr="003F4DB1" w:rsidRDefault="003F4DB1">
                  <w:pPr>
                    <w:rPr>
                      <w:rFonts w:ascii="Arial" w:eastAsia="Times New Roman" w:hAnsi="Arial" w:cs="Arial"/>
                      <w:color w:val="000000"/>
                    </w:rPr>
                  </w:pPr>
                  <w:hyperlink r:id="rId9" w:tgtFrame="_blank" w:history="1">
                    <w:r w:rsidRPr="003F4DB1">
                      <w:rPr>
                        <w:rStyle w:val="Hyperlink"/>
                        <w:rFonts w:ascii="Arial" w:eastAsia="Times New Roman" w:hAnsi="Arial" w:cs="Arial"/>
                        <w:b/>
                        <w:bCs/>
                      </w:rPr>
                      <w:t>SB 29</w:t>
                    </w:r>
                  </w:hyperlink>
                  <w:r w:rsidRPr="003F4DB1">
                    <w:rPr>
                      <w:rFonts w:ascii="Arial" w:eastAsia="Times New Roman" w:hAnsi="Arial" w:cs="Arial"/>
                      <w:color w:val="BF3F2F"/>
                    </w:rPr>
                    <w:t>:</w:t>
                  </w:r>
                  <w:r w:rsidRPr="003F4DB1">
                    <w:rPr>
                      <w:rFonts w:ascii="Arial" w:eastAsia="Times New Roman" w:hAnsi="Arial" w:cs="Arial"/>
                      <w:color w:val="000000"/>
                    </w:rPr>
                    <w:t xml:space="preserve"> </w:t>
                  </w:r>
                  <w:r w:rsidRPr="003F4DB1">
                    <w:rPr>
                      <w:rFonts w:ascii="Arial" w:eastAsia="Times New Roman" w:hAnsi="Arial" w:cs="Arial"/>
                      <w:b/>
                      <w:bCs/>
                      <w:color w:val="000000"/>
                    </w:rPr>
                    <w:t xml:space="preserve">Sen. </w:t>
                  </w:r>
                  <w:proofErr w:type="spellStart"/>
                  <w:r w:rsidRPr="003F4DB1">
                    <w:rPr>
                      <w:rFonts w:ascii="Arial" w:eastAsia="Times New Roman" w:hAnsi="Arial" w:cs="Arial"/>
                      <w:b/>
                      <w:bCs/>
                      <w:color w:val="000000"/>
                    </w:rPr>
                    <w:t>Anavitarte</w:t>
                  </w:r>
                  <w:proofErr w:type="spellEnd"/>
                  <w:r w:rsidRPr="003F4DB1">
                    <w:rPr>
                      <w:rFonts w:ascii="Arial" w:eastAsia="Times New Roman" w:hAnsi="Arial" w:cs="Arial"/>
                      <w:color w:val="000000"/>
                    </w:rPr>
                    <w:t xml:space="preserve"> - Bill would require citizens who want to vote in a Georgia election by absentee ballot to include a copy of their driver's license, voter ID card, passport, or other official form of US identification when they apply for the absentee ballot and at the time of submittal. Assigned to </w:t>
                  </w:r>
                  <w:r w:rsidRPr="003F4DB1">
                    <w:rPr>
                      <w:rFonts w:ascii="Arial" w:eastAsia="Times New Roman" w:hAnsi="Arial" w:cs="Arial"/>
                      <w:b/>
                      <w:bCs/>
                      <w:color w:val="000000"/>
                    </w:rPr>
                    <w:t>House Ethics Committee</w:t>
                  </w:r>
                  <w:r w:rsidRPr="003F4DB1">
                    <w:rPr>
                      <w:rFonts w:ascii="Arial" w:eastAsia="Times New Roman" w:hAnsi="Arial" w:cs="Arial"/>
                      <w:color w:val="000000"/>
                    </w:rPr>
                    <w:t xml:space="preserve"> </w:t>
                  </w:r>
                </w:p>
                <w:p w:rsidR="003F4DB1" w:rsidRPr="003F4DB1" w:rsidRDefault="003F4DB1">
                  <w:pPr>
                    <w:rPr>
                      <w:rFonts w:ascii="Arial" w:eastAsia="Times New Roman" w:hAnsi="Arial" w:cs="Arial"/>
                      <w:color w:val="000000"/>
                    </w:rPr>
                  </w:pPr>
                  <w:r w:rsidRPr="003F4DB1">
                    <w:rPr>
                      <w:rFonts w:ascii="Arial" w:eastAsia="Times New Roman" w:hAnsi="Arial" w:cs="Arial"/>
                      <w:color w:val="555555"/>
                    </w:rPr>
                    <w:t> </w:t>
                  </w:r>
                </w:p>
                <w:p w:rsidR="003F4DB1" w:rsidRPr="003F4DB1" w:rsidRDefault="003F4DB1">
                  <w:pPr>
                    <w:rPr>
                      <w:rFonts w:ascii="Arial" w:eastAsia="Times New Roman" w:hAnsi="Arial" w:cs="Arial"/>
                      <w:color w:val="000000"/>
                    </w:rPr>
                  </w:pPr>
                  <w:hyperlink r:id="rId10" w:tgtFrame="_blank" w:history="1">
                    <w:r w:rsidRPr="003F4DB1">
                      <w:rPr>
                        <w:rStyle w:val="Hyperlink"/>
                        <w:rFonts w:ascii="Arial" w:eastAsia="Times New Roman" w:hAnsi="Arial" w:cs="Arial"/>
                        <w:b/>
                        <w:bCs/>
                      </w:rPr>
                      <w:t>SB 30</w:t>
                    </w:r>
                  </w:hyperlink>
                  <w:r w:rsidRPr="003F4DB1">
                    <w:rPr>
                      <w:rFonts w:ascii="Arial" w:eastAsia="Times New Roman" w:hAnsi="Arial" w:cs="Arial"/>
                      <w:b/>
                      <w:bCs/>
                      <w:color w:val="45B3CA"/>
                    </w:rPr>
                    <w:t>:</w:t>
                  </w:r>
                  <w:r w:rsidRPr="003F4DB1">
                    <w:rPr>
                      <w:rFonts w:ascii="Arial" w:eastAsia="Times New Roman" w:hAnsi="Arial" w:cs="Arial"/>
                      <w:color w:val="BF3F2F"/>
                    </w:rPr>
                    <w:t xml:space="preserve"> </w:t>
                  </w:r>
                  <w:r w:rsidRPr="003F4DB1">
                    <w:rPr>
                      <w:rFonts w:ascii="Arial" w:eastAsia="Times New Roman" w:hAnsi="Arial" w:cs="Arial"/>
                      <w:b/>
                      <w:bCs/>
                      <w:color w:val="000000"/>
                    </w:rPr>
                    <w:t>Sen. Beach</w:t>
                  </w:r>
                  <w:r w:rsidRPr="003F4DB1">
                    <w:rPr>
                      <w:rFonts w:ascii="Arial" w:eastAsia="Times New Roman" w:hAnsi="Arial" w:cs="Arial"/>
                      <w:color w:val="000000"/>
                    </w:rPr>
                    <w:t xml:space="preserve"> - SB 30 would provide for pari-mutuel horse racing in Georgia and would establish Georgia Horse Racing Commission. Assigned to </w:t>
                  </w:r>
                  <w:r w:rsidRPr="003F4DB1">
                    <w:rPr>
                      <w:rFonts w:ascii="Arial" w:eastAsia="Times New Roman" w:hAnsi="Arial" w:cs="Arial"/>
                      <w:b/>
                      <w:bCs/>
                      <w:color w:val="000000"/>
                    </w:rPr>
                    <w:t xml:space="preserve">House Regulated Industries and Utilities Committee </w:t>
                  </w:r>
                </w:p>
                <w:p w:rsidR="003F4DB1" w:rsidRPr="003F4DB1" w:rsidRDefault="003F4DB1">
                  <w:pPr>
                    <w:jc w:val="both"/>
                    <w:rPr>
                      <w:rFonts w:ascii="Arial" w:eastAsia="Times New Roman" w:hAnsi="Arial" w:cs="Arial"/>
                      <w:color w:val="000000"/>
                    </w:rPr>
                  </w:pPr>
                </w:p>
                <w:p w:rsidR="003F4DB1" w:rsidRPr="003F4DB1" w:rsidRDefault="003F4DB1">
                  <w:pPr>
                    <w:jc w:val="both"/>
                    <w:rPr>
                      <w:rFonts w:ascii="Arial" w:eastAsia="Times New Roman" w:hAnsi="Arial" w:cs="Arial"/>
                      <w:color w:val="000000"/>
                    </w:rPr>
                  </w:pPr>
                  <w:r w:rsidRPr="003F4DB1">
                    <w:rPr>
                      <w:rFonts w:ascii="Arial" w:eastAsia="Times New Roman" w:hAnsi="Arial" w:cs="Arial"/>
                      <w:b/>
                      <w:bCs/>
                      <w:color w:val="0D4F1D"/>
                      <w:u w:val="single"/>
                    </w:rPr>
                    <w:t>HOUSE BILLS</w:t>
                  </w:r>
                </w:p>
                <w:p w:rsidR="003F4DB1" w:rsidRPr="003F4DB1" w:rsidRDefault="003F4DB1">
                  <w:pPr>
                    <w:rPr>
                      <w:rFonts w:ascii="Arial" w:eastAsia="Times New Roman" w:hAnsi="Arial" w:cs="Arial"/>
                      <w:color w:val="000000"/>
                    </w:rPr>
                  </w:pPr>
                  <w:hyperlink r:id="rId11" w:tgtFrame="_blank" w:history="1">
                    <w:r w:rsidRPr="003F4DB1">
                      <w:rPr>
                        <w:rStyle w:val="Hyperlink"/>
                        <w:rFonts w:ascii="Arial" w:eastAsia="Times New Roman" w:hAnsi="Arial" w:cs="Arial"/>
                        <w:b/>
                        <w:bCs/>
                      </w:rPr>
                      <w:t>HB 98:</w:t>
                    </w:r>
                  </w:hyperlink>
                  <w:r w:rsidRPr="003F4DB1">
                    <w:rPr>
                      <w:rFonts w:ascii="Arial" w:eastAsia="Times New Roman" w:hAnsi="Arial" w:cs="Arial"/>
                      <w:color w:val="1A191A"/>
                    </w:rPr>
                    <w:t xml:space="preserve"> </w:t>
                  </w:r>
                  <w:r w:rsidRPr="003F4DB1">
                    <w:rPr>
                      <w:rFonts w:ascii="Arial" w:eastAsia="Times New Roman" w:hAnsi="Arial" w:cs="Arial"/>
                      <w:b/>
                      <w:bCs/>
                      <w:color w:val="000000"/>
                    </w:rPr>
                    <w:t xml:space="preserve">Rep. Eddie </w:t>
                  </w:r>
                  <w:proofErr w:type="spellStart"/>
                  <w:r w:rsidRPr="003F4DB1">
                    <w:rPr>
                      <w:rFonts w:ascii="Arial" w:eastAsia="Times New Roman" w:hAnsi="Arial" w:cs="Arial"/>
                      <w:b/>
                      <w:bCs/>
                      <w:color w:val="000000"/>
                    </w:rPr>
                    <w:t>Lumsden</w:t>
                  </w:r>
                  <w:proofErr w:type="spellEnd"/>
                  <w:r w:rsidRPr="003F4DB1">
                    <w:rPr>
                      <w:rFonts w:ascii="Arial" w:eastAsia="Times New Roman" w:hAnsi="Arial" w:cs="Arial"/>
                      <w:color w:val="000000"/>
                    </w:rPr>
                    <w:t xml:space="preserve"> - bill would authorize counties and cities to conduct “public hearings” by teleconference during emergency conditions (e.g. pandemics). The policy would acknowledge that participation by teleconference would be equal to full in person participation as if those conducting the public hearing are physically present and members of the public </w:t>
                  </w:r>
                  <w:proofErr w:type="gramStart"/>
                  <w:r w:rsidRPr="003F4DB1">
                    <w:rPr>
                      <w:rFonts w:ascii="Arial" w:eastAsia="Times New Roman" w:hAnsi="Arial" w:cs="Arial"/>
                      <w:color w:val="000000"/>
                    </w:rPr>
                    <w:t>must be afforded</w:t>
                  </w:r>
                  <w:proofErr w:type="gramEnd"/>
                  <w:r w:rsidRPr="003F4DB1">
                    <w:rPr>
                      <w:rFonts w:ascii="Arial" w:eastAsia="Times New Roman" w:hAnsi="Arial" w:cs="Arial"/>
                      <w:color w:val="000000"/>
                    </w:rPr>
                    <w:t xml:space="preserve"> the means to participate fully in the same manner as if they were physically present. The legislation comes from several instances around the state where local municipalities struggled to conduct the business of their boards as quorums where not met because of health concerns of in person meetings. Assigned to </w:t>
                  </w:r>
                  <w:r w:rsidRPr="003F4DB1">
                    <w:rPr>
                      <w:rFonts w:ascii="Arial" w:eastAsia="Times New Roman" w:hAnsi="Arial" w:cs="Arial"/>
                      <w:b/>
                      <w:bCs/>
                      <w:color w:val="000000"/>
                    </w:rPr>
                    <w:t>Government Affairs Committee.</w:t>
                  </w:r>
                  <w:r w:rsidRPr="003F4DB1">
                    <w:rPr>
                      <w:rFonts w:ascii="Arial" w:eastAsia="Times New Roman" w:hAnsi="Arial" w:cs="Arial"/>
                      <w:color w:val="000000"/>
                    </w:rPr>
                    <w:t xml:space="preserve"> </w:t>
                  </w:r>
                </w:p>
                <w:p w:rsidR="003F4DB1" w:rsidRPr="003F4DB1" w:rsidRDefault="003F4DB1">
                  <w:pPr>
                    <w:jc w:val="both"/>
                    <w:rPr>
                      <w:rFonts w:ascii="Arial" w:eastAsia="Times New Roman" w:hAnsi="Arial" w:cs="Arial"/>
                      <w:color w:val="000000"/>
                    </w:rPr>
                  </w:pPr>
                  <w:r w:rsidRPr="003F4DB1">
                    <w:rPr>
                      <w:rFonts w:ascii="Arial" w:eastAsia="Times New Roman" w:hAnsi="Arial" w:cs="Arial"/>
                      <w:color w:val="555555"/>
                    </w:rPr>
                    <w:t> </w:t>
                  </w:r>
                </w:p>
                <w:p w:rsidR="003F4DB1" w:rsidRPr="003F4DB1" w:rsidRDefault="003F4DB1">
                  <w:pPr>
                    <w:rPr>
                      <w:rFonts w:ascii="Arial" w:eastAsia="Times New Roman" w:hAnsi="Arial" w:cs="Arial"/>
                      <w:color w:val="000000"/>
                    </w:rPr>
                  </w:pPr>
                  <w:hyperlink r:id="rId12" w:tgtFrame="_blank" w:history="1">
                    <w:proofErr w:type="gramStart"/>
                    <w:r w:rsidRPr="003F4DB1">
                      <w:rPr>
                        <w:rStyle w:val="Hyperlink"/>
                        <w:rFonts w:ascii="Arial" w:eastAsia="Times New Roman" w:hAnsi="Arial" w:cs="Arial"/>
                        <w:b/>
                        <w:bCs/>
                      </w:rPr>
                      <w:t>HB 104:</w:t>
                    </w:r>
                  </w:hyperlink>
                  <w:r w:rsidRPr="003F4DB1">
                    <w:rPr>
                      <w:rFonts w:ascii="Arial" w:eastAsia="Times New Roman" w:hAnsi="Arial" w:cs="Arial"/>
                      <w:b/>
                      <w:bCs/>
                      <w:color w:val="45B3CA"/>
                    </w:rPr>
                    <w:t xml:space="preserve"> </w:t>
                  </w:r>
                  <w:r w:rsidRPr="003F4DB1">
                    <w:rPr>
                      <w:rFonts w:ascii="Arial" w:eastAsia="Times New Roman" w:hAnsi="Arial" w:cs="Arial"/>
                      <w:b/>
                      <w:bCs/>
                      <w:color w:val="000000"/>
                    </w:rPr>
                    <w:t>Rep. Stevens</w:t>
                  </w:r>
                  <w:r w:rsidRPr="003F4DB1">
                    <w:rPr>
                      <w:rFonts w:ascii="Arial" w:eastAsia="Times New Roman" w:hAnsi="Arial" w:cs="Arial"/>
                      <w:color w:val="000000"/>
                    </w:rPr>
                    <w:t xml:space="preserve"> - relating to specific, business, and occupation taxes, so as to levy and impose a tax on persons who enter certain rental agreements with </w:t>
                  </w:r>
                  <w:r w:rsidRPr="003F4DB1">
                    <w:rPr>
                      <w:rFonts w:ascii="Arial" w:eastAsia="Times New Roman" w:hAnsi="Arial" w:cs="Arial"/>
                      <w:color w:val="000000"/>
                    </w:rPr>
                    <w:lastRenderedPageBreak/>
                    <w:t>certain equipment rental companies within a certain period of time; to require such equipment rental companies to collect such taxes and remit them to county tax commissioners for credit against such company's ad valorem tax liability for certain equipment; to provide that county tax commissioners shall retain excess fees; to provide for the reporting of certain statistical data related to such tax; to provide for rules and regulations; to provide for definitions; to provide for related matters; to repeal conflicting laws; and for other purposes.</w:t>
                  </w:r>
                  <w:proofErr w:type="gramEnd"/>
                  <w:r w:rsidRPr="003F4DB1">
                    <w:rPr>
                      <w:rFonts w:ascii="Arial" w:eastAsia="Times New Roman" w:hAnsi="Arial" w:cs="Arial"/>
                      <w:color w:val="000000"/>
                    </w:rPr>
                    <w:t xml:space="preserve"> Assigned to </w:t>
                  </w:r>
                  <w:r w:rsidRPr="003F4DB1">
                    <w:rPr>
                      <w:rFonts w:ascii="Arial" w:eastAsia="Times New Roman" w:hAnsi="Arial" w:cs="Arial"/>
                      <w:b/>
                      <w:bCs/>
                      <w:color w:val="000000"/>
                    </w:rPr>
                    <w:t>Ways and Means</w:t>
                  </w:r>
                  <w:r w:rsidRPr="003F4DB1">
                    <w:rPr>
                      <w:rFonts w:ascii="Arial" w:eastAsia="Times New Roman" w:hAnsi="Arial" w:cs="Arial"/>
                      <w:color w:val="000000"/>
                    </w:rPr>
                    <w:t xml:space="preserve"> </w:t>
                  </w:r>
                </w:p>
                <w:p w:rsidR="003F4DB1" w:rsidRPr="003F4DB1" w:rsidRDefault="003F4DB1">
                  <w:pPr>
                    <w:rPr>
                      <w:rFonts w:ascii="Arial" w:eastAsia="Times New Roman" w:hAnsi="Arial" w:cs="Arial"/>
                      <w:color w:val="000000"/>
                    </w:rPr>
                  </w:pPr>
                </w:p>
                <w:p w:rsidR="003F4DB1" w:rsidRPr="003F4DB1" w:rsidRDefault="003F4DB1">
                  <w:pPr>
                    <w:rPr>
                      <w:rFonts w:ascii="Arial" w:eastAsia="Times New Roman" w:hAnsi="Arial" w:cs="Arial"/>
                      <w:color w:val="000000"/>
                    </w:rPr>
                  </w:pPr>
                  <w:hyperlink r:id="rId13" w:tgtFrame="_blank" w:history="1">
                    <w:r w:rsidRPr="003F4DB1">
                      <w:rPr>
                        <w:rStyle w:val="Hyperlink"/>
                        <w:rFonts w:ascii="Arial" w:eastAsia="Times New Roman" w:hAnsi="Arial" w:cs="Arial"/>
                        <w:b/>
                        <w:bCs/>
                      </w:rPr>
                      <w:t>HB 112:</w:t>
                    </w:r>
                  </w:hyperlink>
                  <w:r w:rsidRPr="003F4DB1">
                    <w:rPr>
                      <w:rFonts w:ascii="Arial" w:eastAsia="Times New Roman" w:hAnsi="Arial" w:cs="Arial"/>
                      <w:color w:val="000000"/>
                    </w:rPr>
                    <w:t xml:space="preserve"> </w:t>
                  </w:r>
                  <w:r w:rsidRPr="003F4DB1">
                    <w:rPr>
                      <w:rFonts w:ascii="Arial" w:eastAsia="Times New Roman" w:hAnsi="Arial" w:cs="Arial"/>
                      <w:b/>
                      <w:bCs/>
                      <w:color w:val="000000"/>
                    </w:rPr>
                    <w:t xml:space="preserve">Rep. Trey Kelley </w:t>
                  </w:r>
                  <w:r w:rsidRPr="003F4DB1">
                    <w:rPr>
                      <w:rFonts w:ascii="Arial" w:eastAsia="Times New Roman" w:hAnsi="Arial" w:cs="Arial"/>
                      <w:color w:val="000000"/>
                    </w:rPr>
                    <w:t xml:space="preserve">- COVID-19 liability protections for Georgia businesses and hospitals </w:t>
                  </w:r>
                  <w:proofErr w:type="gramStart"/>
                  <w:r w:rsidRPr="003F4DB1">
                    <w:rPr>
                      <w:rFonts w:ascii="Arial" w:eastAsia="Times New Roman" w:hAnsi="Arial" w:cs="Arial"/>
                      <w:color w:val="000000"/>
                    </w:rPr>
                    <w:t>would be extended</w:t>
                  </w:r>
                  <w:proofErr w:type="gramEnd"/>
                  <w:r w:rsidRPr="003F4DB1">
                    <w:rPr>
                      <w:rFonts w:ascii="Arial" w:eastAsia="Times New Roman" w:hAnsi="Arial" w:cs="Arial"/>
                      <w:color w:val="000000"/>
                    </w:rPr>
                    <w:t xml:space="preserve"> until July 14, 2022, under a bill introduced in the General Assembly. Since August, the liability protections have shielded businesses and health-care facilities in Georgia from lawsuits brought by people who contract COVID-19 in all but the worst negligence or recklessness cases. The bill only calls for a one-year extension. Assigned to </w:t>
                  </w:r>
                  <w:r w:rsidRPr="003F4DB1">
                    <w:rPr>
                      <w:rFonts w:ascii="Arial" w:eastAsia="Times New Roman" w:hAnsi="Arial" w:cs="Arial"/>
                      <w:b/>
                      <w:bCs/>
                      <w:color w:val="000000"/>
                    </w:rPr>
                    <w:t>Judiciary Committee</w:t>
                  </w:r>
                  <w:r w:rsidRPr="003F4DB1">
                    <w:rPr>
                      <w:rFonts w:ascii="Arial" w:eastAsia="Times New Roman" w:hAnsi="Arial" w:cs="Arial"/>
                      <w:color w:val="000000"/>
                    </w:rPr>
                    <w:t xml:space="preserve"> </w:t>
                  </w:r>
                </w:p>
                <w:p w:rsidR="003F4DB1" w:rsidRPr="003F4DB1" w:rsidRDefault="003F4DB1">
                  <w:pPr>
                    <w:rPr>
                      <w:rFonts w:ascii="Arial" w:eastAsia="Times New Roman" w:hAnsi="Arial" w:cs="Arial"/>
                      <w:color w:val="000000"/>
                    </w:rPr>
                  </w:pPr>
                </w:p>
                <w:p w:rsidR="003F4DB1" w:rsidRPr="003F4DB1" w:rsidRDefault="003F4DB1">
                  <w:pPr>
                    <w:rPr>
                      <w:rFonts w:ascii="Arial" w:eastAsia="Times New Roman" w:hAnsi="Arial" w:cs="Arial"/>
                      <w:color w:val="000000"/>
                    </w:rPr>
                  </w:pPr>
                  <w:hyperlink r:id="rId14" w:tgtFrame="_blank" w:history="1">
                    <w:r w:rsidRPr="003F4DB1">
                      <w:rPr>
                        <w:rStyle w:val="Hyperlink"/>
                        <w:rFonts w:ascii="Arial" w:eastAsia="Times New Roman" w:hAnsi="Arial" w:cs="Arial"/>
                        <w:b/>
                        <w:bCs/>
                      </w:rPr>
                      <w:t>HB 139</w:t>
                    </w:r>
                  </w:hyperlink>
                  <w:r w:rsidRPr="003F4DB1">
                    <w:rPr>
                      <w:rFonts w:ascii="Arial" w:eastAsia="Times New Roman" w:hAnsi="Arial" w:cs="Arial"/>
                      <w:color w:val="45B3CA"/>
                    </w:rPr>
                    <w:t xml:space="preserve">: </w:t>
                  </w:r>
                  <w:r w:rsidRPr="003F4DB1">
                    <w:rPr>
                      <w:rFonts w:ascii="Arial" w:eastAsia="Times New Roman" w:hAnsi="Arial" w:cs="Arial"/>
                      <w:b/>
                      <w:bCs/>
                      <w:color w:val="000000"/>
                    </w:rPr>
                    <w:t>Rep Mainor</w:t>
                  </w:r>
                  <w:r w:rsidRPr="003F4DB1">
                    <w:rPr>
                      <w:rFonts w:ascii="Arial" w:eastAsia="Times New Roman" w:hAnsi="Arial" w:cs="Arial"/>
                      <w:color w:val="000000"/>
                    </w:rPr>
                    <w:t xml:space="preserve"> - This bill would prohibit trains from restricting traffic crossing for longer than 15 minutes except in emergency situations. Assigned to </w:t>
                  </w:r>
                  <w:r w:rsidRPr="003F4DB1">
                    <w:rPr>
                      <w:rFonts w:ascii="Arial" w:eastAsia="Times New Roman" w:hAnsi="Arial" w:cs="Arial"/>
                      <w:b/>
                      <w:bCs/>
                      <w:color w:val="000000"/>
                    </w:rPr>
                    <w:t xml:space="preserve">House Transportation Committee </w:t>
                  </w:r>
                </w:p>
                <w:p w:rsidR="003F4DB1" w:rsidRPr="003F4DB1" w:rsidRDefault="003F4DB1">
                  <w:pPr>
                    <w:rPr>
                      <w:rFonts w:ascii="Arial" w:eastAsia="Times New Roman" w:hAnsi="Arial" w:cs="Arial"/>
                      <w:color w:val="000000"/>
                    </w:rPr>
                  </w:pPr>
                  <w:r w:rsidRPr="003F4DB1">
                    <w:rPr>
                      <w:rFonts w:ascii="Arial" w:eastAsia="Times New Roman" w:hAnsi="Arial" w:cs="Arial"/>
                      <w:color w:val="555555"/>
                    </w:rPr>
                    <w:t> </w:t>
                  </w:r>
                </w:p>
                <w:p w:rsidR="003F4DB1" w:rsidRPr="003F4DB1" w:rsidRDefault="003F4DB1">
                  <w:pPr>
                    <w:rPr>
                      <w:rFonts w:ascii="Arial" w:eastAsia="Times New Roman" w:hAnsi="Arial" w:cs="Arial"/>
                      <w:color w:val="000000"/>
                    </w:rPr>
                  </w:pPr>
                  <w:hyperlink r:id="rId15" w:tgtFrame="_blank" w:history="1">
                    <w:r w:rsidRPr="003F4DB1">
                      <w:rPr>
                        <w:rStyle w:val="Hyperlink"/>
                        <w:rFonts w:ascii="Arial" w:eastAsia="Times New Roman" w:hAnsi="Arial" w:cs="Arial"/>
                        <w:b/>
                        <w:bCs/>
                      </w:rPr>
                      <w:t>HB 150</w:t>
                    </w:r>
                  </w:hyperlink>
                  <w:r w:rsidRPr="003F4DB1">
                    <w:rPr>
                      <w:rFonts w:ascii="Arial" w:eastAsia="Times New Roman" w:hAnsi="Arial" w:cs="Arial"/>
                      <w:b/>
                      <w:bCs/>
                      <w:color w:val="45B3CA"/>
                    </w:rPr>
                    <w:t>:</w:t>
                  </w:r>
                  <w:r w:rsidRPr="003F4DB1">
                    <w:rPr>
                      <w:rFonts w:ascii="Arial" w:eastAsia="Times New Roman" w:hAnsi="Arial" w:cs="Arial"/>
                      <w:color w:val="BF3F2F"/>
                    </w:rPr>
                    <w:t xml:space="preserve"> </w:t>
                  </w:r>
                  <w:r w:rsidRPr="003F4DB1">
                    <w:rPr>
                      <w:rFonts w:ascii="Arial" w:eastAsia="Times New Roman" w:hAnsi="Arial" w:cs="Arial"/>
                      <w:b/>
                      <w:bCs/>
                      <w:color w:val="000000"/>
                    </w:rPr>
                    <w:t>Reps. Williamson, Hatchett, Kelley, Frazier, Parsons, Smith</w:t>
                  </w:r>
                  <w:r w:rsidRPr="003F4DB1">
                    <w:rPr>
                      <w:rFonts w:ascii="Arial" w:eastAsia="Times New Roman" w:hAnsi="Arial" w:cs="Arial"/>
                      <w:color w:val="000000"/>
                    </w:rPr>
                    <w:t xml:space="preserve"> - </w:t>
                  </w:r>
                  <w:r w:rsidRPr="003F4DB1">
                    <w:rPr>
                      <w:rFonts w:ascii="Arial" w:eastAsia="Times New Roman" w:hAnsi="Arial" w:cs="Arial"/>
                      <w:b/>
                      <w:bCs/>
                      <w:color w:val="000000"/>
                    </w:rPr>
                    <w:t>HB 150</w:t>
                  </w:r>
                  <w:r w:rsidRPr="003F4DB1">
                    <w:rPr>
                      <w:rFonts w:ascii="Arial" w:eastAsia="Times New Roman" w:hAnsi="Arial" w:cs="Arial"/>
                      <w:color w:val="000000"/>
                    </w:rPr>
                    <w:t xml:space="preserve"> would prohibit local government entities in Georgia from banning the connection of any utility service based on the type or source of fuel. Assigned to </w:t>
                  </w:r>
                  <w:r w:rsidRPr="003F4DB1">
                    <w:rPr>
                      <w:rFonts w:ascii="Arial" w:eastAsia="Times New Roman" w:hAnsi="Arial" w:cs="Arial"/>
                      <w:b/>
                      <w:bCs/>
                      <w:color w:val="000000"/>
                    </w:rPr>
                    <w:t>House Energy, Utilities, and Telecommunications Committee</w:t>
                  </w:r>
                  <w:r w:rsidRPr="003F4DB1">
                    <w:rPr>
                      <w:rFonts w:ascii="Arial" w:eastAsia="Times New Roman" w:hAnsi="Arial" w:cs="Arial"/>
                      <w:color w:val="000000"/>
                    </w:rPr>
                    <w:t xml:space="preserve"> </w:t>
                  </w:r>
                </w:p>
              </w:tc>
            </w:tr>
            <w:tr w:rsidR="003F4DB1" w:rsidRPr="003F4DB1">
              <w:tc>
                <w:tcPr>
                  <w:tcW w:w="0" w:type="auto"/>
                  <w:hideMark/>
                </w:tcPr>
                <w:tbl>
                  <w:tblPr>
                    <w:tblW w:w="5000" w:type="pct"/>
                    <w:jc w:val="center"/>
                    <w:tblLook w:val="04A0" w:firstRow="1" w:lastRow="0" w:firstColumn="1" w:lastColumn="0" w:noHBand="0" w:noVBand="1"/>
                  </w:tblPr>
                  <w:tblGrid>
                    <w:gridCol w:w="9360"/>
                  </w:tblGrid>
                  <w:tr w:rsidR="003F4DB1" w:rsidRPr="003F4DB1">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3F4DB1" w:rsidRPr="003F4DB1">
                          <w:trPr>
                            <w:trHeight w:val="15"/>
                            <w:jc w:val="center"/>
                          </w:trPr>
                          <w:tc>
                            <w:tcPr>
                              <w:tcW w:w="0" w:type="auto"/>
                              <w:shd w:val="clear" w:color="auto" w:fill="000000"/>
                              <w:tcMar>
                                <w:top w:w="0" w:type="dxa"/>
                                <w:left w:w="0" w:type="dxa"/>
                                <w:bottom w:w="45" w:type="dxa"/>
                                <w:right w:w="0" w:type="dxa"/>
                              </w:tcMar>
                              <w:vAlign w:val="center"/>
                              <w:hideMark/>
                            </w:tcPr>
                            <w:p w:rsidR="003F4DB1" w:rsidRPr="003F4DB1" w:rsidRDefault="003F4DB1">
                              <w:pPr>
                                <w:spacing w:line="15" w:lineRule="atLeast"/>
                                <w:jc w:val="center"/>
                                <w:rPr>
                                  <w:rFonts w:ascii="Arial" w:eastAsia="Times New Roman" w:hAnsi="Arial" w:cs="Arial"/>
                                </w:rPr>
                              </w:pPr>
                              <w:r w:rsidRPr="003F4DB1">
                                <w:rPr>
                                  <w:rFonts w:ascii="Arial" w:eastAsia="Times New Roman" w:hAnsi="Arial" w:cs="Arial"/>
                                  <w:noProof/>
                                </w:rPr>
                                <w:lastRenderedPageBreak/>
                                <w:drawing>
                                  <wp:inline distT="0" distB="0" distL="0" distR="0">
                                    <wp:extent cx="44450" cy="6350"/>
                                    <wp:effectExtent l="0" t="0" r="0" b="0"/>
                                    <wp:docPr id="10" name="Picture 1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F4DB1" w:rsidRPr="003F4DB1" w:rsidRDefault="003F4DB1">
                        <w:pPr>
                          <w:jc w:val="center"/>
                          <w:rPr>
                            <w:rFonts w:ascii="Arial" w:eastAsia="Times New Roman" w:hAnsi="Arial" w:cs="Arial"/>
                          </w:rPr>
                        </w:pPr>
                      </w:p>
                    </w:tc>
                  </w:tr>
                </w:tbl>
                <w:p w:rsidR="003F4DB1" w:rsidRPr="003F4DB1" w:rsidRDefault="003F4DB1">
                  <w:pPr>
                    <w:jc w:val="center"/>
                    <w:rPr>
                      <w:rFonts w:ascii="Arial" w:eastAsia="Times New Roman" w:hAnsi="Arial" w:cs="Arial"/>
                    </w:rPr>
                  </w:pPr>
                </w:p>
              </w:tc>
            </w:tr>
          </w:tbl>
          <w:p w:rsidR="003F4DB1" w:rsidRPr="003F4DB1" w:rsidRDefault="003F4DB1">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3F4DB1" w:rsidRPr="003F4DB1">
              <w:tc>
                <w:tcPr>
                  <w:tcW w:w="0" w:type="auto"/>
                  <w:tcMar>
                    <w:top w:w="150" w:type="dxa"/>
                    <w:left w:w="300" w:type="dxa"/>
                    <w:bottom w:w="150" w:type="dxa"/>
                    <w:right w:w="150" w:type="dxa"/>
                  </w:tcMar>
                </w:tcPr>
                <w:p w:rsidR="003F4DB1" w:rsidRPr="003F4DB1" w:rsidRDefault="003F4DB1">
                  <w:pPr>
                    <w:rPr>
                      <w:rFonts w:ascii="Arial" w:eastAsia="Times New Roman" w:hAnsi="Arial" w:cs="Arial"/>
                      <w:color w:val="000000"/>
                    </w:rPr>
                  </w:pPr>
                  <w:r w:rsidRPr="003F4DB1">
                    <w:rPr>
                      <w:rFonts w:ascii="Tahoma" w:eastAsia="Times New Roman" w:hAnsi="Tahoma" w:cs="Tahoma"/>
                      <w:b/>
                      <w:bCs/>
                      <w:color w:val="BF3F2F"/>
                    </w:rPr>
                    <w:t>﻿</w:t>
                  </w:r>
                  <w:r w:rsidRPr="003F4DB1">
                    <w:rPr>
                      <w:rFonts w:ascii="Arial" w:eastAsia="Times New Roman" w:hAnsi="Arial" w:cs="Arial"/>
                      <w:b/>
                      <w:bCs/>
                      <w:color w:val="BF3F2F"/>
                    </w:rPr>
                    <w:t>SEC. PERDUE OFFERS FAREWELL ADDRESS TO FARM BUREAU MEMBERS</w:t>
                  </w:r>
                </w:p>
                <w:p w:rsidR="003F4DB1" w:rsidRPr="003F4DB1" w:rsidRDefault="003F4DB1">
                  <w:pPr>
                    <w:rPr>
                      <w:rFonts w:ascii="Arial" w:eastAsia="Times New Roman" w:hAnsi="Arial" w:cs="Arial"/>
                      <w:color w:val="000000"/>
                    </w:rPr>
                  </w:pPr>
                  <w:bookmarkStart w:id="0" w:name="_GoBack"/>
                  <w:bookmarkEnd w:id="0"/>
                  <w:r w:rsidRPr="003F4DB1">
                    <w:rPr>
                      <w:rFonts w:ascii="Arial" w:eastAsia="Times New Roman" w:hAnsi="Arial" w:cs="Arial"/>
                      <w:b/>
                      <w:bCs/>
                      <w:color w:val="000000"/>
                    </w:rPr>
                    <w:t>Secretary of Agriculture Sonny Perdue</w:t>
                  </w:r>
                  <w:r w:rsidRPr="003F4DB1">
                    <w:rPr>
                      <w:rFonts w:ascii="Arial" w:eastAsia="Times New Roman" w:hAnsi="Arial" w:cs="Arial"/>
                      <w:color w:val="000000"/>
                    </w:rPr>
                    <w:t xml:space="preserve"> thanked farm bureau members for their support of the nation’s agricultural policies over the last four years and encouraged members to continue to advocate for what’s best for American agriculture in his virtual address given during the annual American Farm Bureau Convention meeting on Tuesday evening, per Feedstuffs.</w:t>
                  </w:r>
                  <w:r w:rsidRPr="003F4DB1">
                    <w:rPr>
                      <w:rFonts w:ascii="Tahoma" w:eastAsia="Times New Roman" w:hAnsi="Tahoma" w:cs="Tahoma"/>
                      <w:color w:val="000000"/>
                    </w:rPr>
                    <w:t>﻿</w:t>
                  </w:r>
                  <w:r w:rsidRPr="003F4DB1">
                    <w:rPr>
                      <w:rFonts w:ascii="Arial" w:eastAsia="Times New Roman" w:hAnsi="Arial" w:cs="Arial"/>
                      <w:color w:val="000000"/>
                    </w:rPr>
                    <w:t xml:space="preserve"> </w:t>
                  </w:r>
                </w:p>
              </w:tc>
            </w:tr>
          </w:tbl>
          <w:p w:rsidR="003F4DB1" w:rsidRPr="003F4DB1" w:rsidRDefault="003F4DB1">
            <w:pPr>
              <w:rPr>
                <w:rFonts w:ascii="Arial" w:eastAsia="Times New Roman" w:hAnsi="Arial" w:cs="Arial"/>
              </w:rPr>
            </w:pPr>
          </w:p>
        </w:tc>
      </w:tr>
      <w:tr w:rsidR="003F4DB1" w:rsidRPr="003F4DB1" w:rsidTr="003F4DB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F4DB1" w:rsidRPr="003F4DB1">
              <w:tc>
                <w:tcPr>
                  <w:tcW w:w="0" w:type="auto"/>
                  <w:tcMar>
                    <w:top w:w="150" w:type="dxa"/>
                    <w:left w:w="300" w:type="dxa"/>
                    <w:bottom w:w="150" w:type="dxa"/>
                    <w:right w:w="300" w:type="dxa"/>
                  </w:tcMar>
                </w:tcPr>
                <w:p w:rsidR="003F4DB1" w:rsidRPr="003F4DB1" w:rsidRDefault="003F4DB1">
                  <w:pPr>
                    <w:rPr>
                      <w:rFonts w:ascii="Arial" w:eastAsia="Times New Roman" w:hAnsi="Arial" w:cs="Arial"/>
                      <w:color w:val="000000"/>
                    </w:rPr>
                  </w:pPr>
                  <w:r w:rsidRPr="003F4DB1">
                    <w:rPr>
                      <w:rFonts w:ascii="Arial" w:eastAsia="Times New Roman" w:hAnsi="Arial" w:cs="Arial"/>
                      <w:color w:val="000000"/>
                    </w:rPr>
                    <w:lastRenderedPageBreak/>
                    <w:t>Sec. Perdue, a strong advocate of trade and expanding agricultural market access during his tenure at USDA, says moving forward, “We need more markets abroad to sell the abundance of American agriculture.” He says this includes more trade deals such as the U.S.-Mexico-Canada Agreement and holding China to their trading commitments. “These deals would not have happened if it weren’t for the near universal support from the agricultural community.” He added that sights should also be set on southeast Asia, the booming markets of Africa as well as the United Kingdom.</w:t>
                  </w:r>
                </w:p>
                <w:p w:rsidR="003F4DB1" w:rsidRPr="003F4DB1" w:rsidRDefault="003F4DB1">
                  <w:pPr>
                    <w:rPr>
                      <w:rFonts w:ascii="Arial" w:eastAsia="Times New Roman" w:hAnsi="Arial" w:cs="Arial"/>
                      <w:color w:val="000000"/>
                    </w:rPr>
                  </w:pPr>
                </w:p>
                <w:p w:rsidR="003F4DB1" w:rsidRPr="003F4DB1" w:rsidRDefault="003F4DB1">
                  <w:pPr>
                    <w:rPr>
                      <w:rFonts w:ascii="Arial" w:eastAsia="Times New Roman" w:hAnsi="Arial" w:cs="Arial"/>
                      <w:color w:val="000000"/>
                    </w:rPr>
                  </w:pPr>
                  <w:r w:rsidRPr="003F4DB1">
                    <w:rPr>
                      <w:rFonts w:ascii="Arial" w:eastAsia="Times New Roman" w:hAnsi="Arial" w:cs="Arial"/>
                      <w:color w:val="000000"/>
                    </w:rPr>
                    <w:t>Reflecting on all the happenings of the past year, he said, “We have done what is necessary to ensure the American agriculture economy remains strong, independent and a global leader in production.”</w:t>
                  </w:r>
                </w:p>
              </w:tc>
            </w:tr>
          </w:tbl>
          <w:p w:rsidR="003F4DB1" w:rsidRPr="003F4DB1" w:rsidRDefault="003F4DB1">
            <w:pPr>
              <w:rPr>
                <w:rFonts w:ascii="Arial" w:eastAsia="Times New Roman" w:hAnsi="Arial" w:cs="Arial"/>
              </w:rPr>
            </w:pPr>
          </w:p>
        </w:tc>
      </w:tr>
    </w:tbl>
    <w:p w:rsidR="003F4DB1" w:rsidRPr="003F4DB1" w:rsidRDefault="003F4DB1" w:rsidP="003F4DB1">
      <w:pPr>
        <w:jc w:val="center"/>
        <w:rPr>
          <w:rFonts w:ascii="Arial" w:eastAsia="Times New Roman" w:hAnsi="Arial" w:cs="Arial"/>
          <w:vanish/>
        </w:rPr>
      </w:pPr>
    </w:p>
    <w:tbl>
      <w:tblPr>
        <w:tblW w:w="5000" w:type="pct"/>
        <w:jc w:val="center"/>
        <w:tblCellMar>
          <w:left w:w="0" w:type="dxa"/>
          <w:right w:w="0" w:type="dxa"/>
        </w:tblCellMar>
        <w:tblLook w:val="04A0" w:firstRow="1" w:lastRow="0" w:firstColumn="1" w:lastColumn="0" w:noHBand="0" w:noVBand="1"/>
      </w:tblPr>
      <w:tblGrid>
        <w:gridCol w:w="9360"/>
      </w:tblGrid>
      <w:tr w:rsidR="003F4DB1" w:rsidRPr="003F4DB1" w:rsidTr="003F4DB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F4DB1" w:rsidRPr="003F4DB1">
              <w:tc>
                <w:tcPr>
                  <w:tcW w:w="0" w:type="auto"/>
                  <w:hideMark/>
                </w:tcPr>
                <w:tbl>
                  <w:tblPr>
                    <w:tblW w:w="5000" w:type="pct"/>
                    <w:jc w:val="center"/>
                    <w:tblLook w:val="04A0" w:firstRow="1" w:lastRow="0" w:firstColumn="1" w:lastColumn="0" w:noHBand="0" w:noVBand="1"/>
                  </w:tblPr>
                  <w:tblGrid>
                    <w:gridCol w:w="9360"/>
                  </w:tblGrid>
                  <w:tr w:rsidR="003F4DB1" w:rsidRPr="003F4DB1">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3F4DB1" w:rsidRPr="003F4DB1">
                          <w:trPr>
                            <w:trHeight w:val="15"/>
                            <w:jc w:val="center"/>
                          </w:trPr>
                          <w:tc>
                            <w:tcPr>
                              <w:tcW w:w="0" w:type="auto"/>
                              <w:shd w:val="clear" w:color="auto" w:fill="000000"/>
                              <w:tcMar>
                                <w:top w:w="0" w:type="dxa"/>
                                <w:left w:w="0" w:type="dxa"/>
                                <w:bottom w:w="45" w:type="dxa"/>
                                <w:right w:w="0" w:type="dxa"/>
                              </w:tcMar>
                              <w:vAlign w:val="center"/>
                              <w:hideMark/>
                            </w:tcPr>
                            <w:p w:rsidR="003F4DB1" w:rsidRPr="003F4DB1" w:rsidRDefault="003F4DB1">
                              <w:pPr>
                                <w:spacing w:line="15" w:lineRule="atLeast"/>
                                <w:jc w:val="center"/>
                                <w:rPr>
                                  <w:rFonts w:ascii="Arial" w:eastAsia="Times New Roman" w:hAnsi="Arial" w:cs="Arial"/>
                                </w:rPr>
                              </w:pPr>
                              <w:r w:rsidRPr="003F4DB1">
                                <w:rPr>
                                  <w:rFonts w:ascii="Arial" w:eastAsia="Times New Roman" w:hAnsi="Arial" w:cs="Arial"/>
                                  <w:noProof/>
                                </w:rPr>
                                <w:drawing>
                                  <wp:inline distT="0" distB="0" distL="0" distR="0">
                                    <wp:extent cx="44450" cy="6350"/>
                                    <wp:effectExtent l="0" t="0" r="0" b="0"/>
                                    <wp:docPr id="11" name="Picture 1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F4DB1" w:rsidRPr="003F4DB1" w:rsidRDefault="003F4DB1">
                        <w:pPr>
                          <w:jc w:val="center"/>
                          <w:rPr>
                            <w:rFonts w:ascii="Arial" w:eastAsia="Times New Roman" w:hAnsi="Arial" w:cs="Arial"/>
                          </w:rPr>
                        </w:pPr>
                      </w:p>
                    </w:tc>
                  </w:tr>
                </w:tbl>
                <w:p w:rsidR="003F4DB1" w:rsidRPr="003F4DB1" w:rsidRDefault="003F4DB1">
                  <w:pPr>
                    <w:jc w:val="center"/>
                    <w:rPr>
                      <w:rFonts w:ascii="Arial" w:eastAsia="Times New Roman" w:hAnsi="Arial" w:cs="Arial"/>
                    </w:rPr>
                  </w:pPr>
                </w:p>
              </w:tc>
            </w:tr>
          </w:tbl>
          <w:p w:rsidR="003F4DB1" w:rsidRPr="003F4DB1" w:rsidRDefault="003F4DB1">
            <w:pPr>
              <w:rPr>
                <w:rFonts w:ascii="Arial" w:eastAsia="Times New Roman" w:hAnsi="Arial" w:cs="Arial"/>
              </w:rPr>
            </w:pPr>
          </w:p>
        </w:tc>
      </w:tr>
      <w:tr w:rsidR="009F09BC" w:rsidRPr="003F4DB1" w:rsidTr="009F09BC">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F09BC" w:rsidRPr="003F4DB1">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9F09BC" w:rsidRPr="003F4DB1">
                    <w:trPr>
                      <w:jc w:val="center"/>
                    </w:trPr>
                    <w:tc>
                      <w:tcPr>
                        <w:tcW w:w="5000" w:type="pct"/>
                        <w:shd w:val="clear" w:color="auto" w:fill="FFFFFF"/>
                        <w:tcMar>
                          <w:top w:w="90" w:type="dxa"/>
                          <w:left w:w="90" w:type="dxa"/>
                          <w:bottom w:w="90" w:type="dxa"/>
                          <w:right w:w="90" w:type="dxa"/>
                        </w:tcMar>
                        <w:vAlign w:val="center"/>
                        <w:hideMark/>
                      </w:tcPr>
                      <w:p w:rsidR="009F09BC" w:rsidRPr="003F4DB1" w:rsidRDefault="009F09BC">
                        <w:pPr>
                          <w:jc w:val="center"/>
                          <w:rPr>
                            <w:rFonts w:ascii="Arial" w:eastAsia="Times New Roman" w:hAnsi="Arial" w:cs="Arial"/>
                            <w:color w:val="455560"/>
                          </w:rPr>
                        </w:pPr>
                      </w:p>
                    </w:tc>
                  </w:tr>
                  <w:tr w:rsidR="009F09BC" w:rsidRPr="003F4DB1">
                    <w:trPr>
                      <w:jc w:val="center"/>
                    </w:trPr>
                    <w:tc>
                      <w:tcPr>
                        <w:tcW w:w="0" w:type="auto"/>
                        <w:shd w:val="clear" w:color="auto" w:fill="FFFFFF"/>
                        <w:tcMar>
                          <w:top w:w="375" w:type="dxa"/>
                          <w:left w:w="0" w:type="dxa"/>
                          <w:bottom w:w="120" w:type="dxa"/>
                          <w:right w:w="0" w:type="dxa"/>
                        </w:tcMar>
                        <w:vAlign w:val="center"/>
                        <w:hideMark/>
                      </w:tcPr>
                      <w:p w:rsidR="009F09BC" w:rsidRPr="003F4DB1" w:rsidRDefault="009F09BC">
                        <w:pPr>
                          <w:rPr>
                            <w:rFonts w:ascii="Arial" w:eastAsia="Times New Roman" w:hAnsi="Arial" w:cs="Arial"/>
                          </w:rPr>
                        </w:pPr>
                        <w:r w:rsidRPr="003F4DB1">
                          <w:rPr>
                            <w:rFonts w:ascii="Arial" w:eastAsia="Times New Roman" w:hAnsi="Arial" w:cs="Arial"/>
                            <w:noProof/>
                            <w:color w:val="00838C"/>
                          </w:rPr>
                          <w:lastRenderedPageBreak/>
                          <w:drawing>
                            <wp:inline distT="0" distB="0" distL="0" distR="0">
                              <wp:extent cx="5715000" cy="1428750"/>
                              <wp:effectExtent l="0" t="0" r="0" b="0"/>
                              <wp:docPr id="9" name="Picture 9" descr="AVMA">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M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r w:rsidR="009F09BC" w:rsidRPr="003F4DB1">
                    <w:trPr>
                      <w:jc w:val="center"/>
                    </w:trPr>
                    <w:tc>
                      <w:tcPr>
                        <w:tcW w:w="0" w:type="auto"/>
                        <w:shd w:val="clear" w:color="auto" w:fill="FFFFFF"/>
                        <w:tcMar>
                          <w:top w:w="0" w:type="dxa"/>
                          <w:left w:w="375" w:type="dxa"/>
                          <w:bottom w:w="0" w:type="dxa"/>
                          <w:right w:w="375" w:type="dxa"/>
                        </w:tcMar>
                        <w:vAlign w:val="center"/>
                      </w:tcPr>
                      <w:p w:rsidR="009F09BC" w:rsidRPr="003F4DB1" w:rsidRDefault="009F09BC">
                        <w:pPr>
                          <w:rPr>
                            <w:rFonts w:ascii="Arial" w:eastAsia="Times New Roman" w:hAnsi="Arial" w:cs="Arial"/>
                            <w:color w:val="2F3538"/>
                          </w:rPr>
                        </w:pPr>
                        <w:r w:rsidRPr="003F4DB1">
                          <w:rPr>
                            <w:rFonts w:ascii="Arial" w:eastAsia="Times New Roman" w:hAnsi="Arial" w:cs="Arial"/>
                            <w:color w:val="2F3538"/>
                          </w:rPr>
                          <w:br/>
                        </w:r>
                      </w:p>
                      <w:p w:rsidR="009F09BC" w:rsidRPr="003F4DB1" w:rsidRDefault="003F4DB1">
                        <w:pPr>
                          <w:pStyle w:val="Heading4"/>
                          <w:spacing w:line="390" w:lineRule="atLeast"/>
                          <w:rPr>
                            <w:rFonts w:ascii="Arial" w:eastAsia="Times New Roman" w:hAnsi="Arial" w:cs="Arial"/>
                            <w:color w:val="2F3538"/>
                          </w:rPr>
                        </w:pPr>
                        <w:hyperlink r:id="rId18" w:tgtFrame="_blank" w:history="1">
                          <w:r w:rsidR="009F09BC" w:rsidRPr="003F4DB1">
                            <w:rPr>
                              <w:rStyle w:val="Hyperlink"/>
                              <w:rFonts w:ascii="Arial" w:eastAsia="Times New Roman" w:hAnsi="Arial" w:cs="Arial"/>
                              <w:color w:val="2F3538"/>
                            </w:rPr>
                            <w:t>One Health, wildlife health wins in year-end funding package</w:t>
                          </w:r>
                        </w:hyperlink>
                      </w:p>
                      <w:p w:rsidR="009F09BC" w:rsidRPr="003F4DB1" w:rsidRDefault="009F09BC">
                        <w:pPr>
                          <w:pStyle w:val="NormalWeb"/>
                          <w:rPr>
                            <w:rFonts w:ascii="Arial" w:hAnsi="Arial" w:cs="Arial"/>
                            <w:color w:val="2F3538"/>
                          </w:rPr>
                        </w:pPr>
                        <w:r w:rsidRPr="003F4DB1">
                          <w:rPr>
                            <w:rFonts w:ascii="Arial" w:hAnsi="Arial" w:cs="Arial"/>
                            <w:color w:val="2F3538"/>
                          </w:rPr>
                          <w:t>The spending package approved to fund the federal government through the remainder of fiscal year (FY) 2021 provides major wins for veterinarians. These include AVMA priorities such as One Health, funds to renovate the National Wildlife Health Center, and other veterinary-related programs. The AVMA advocacy team worked with lawmakers in both the House and Senate to secure these wins.  </w:t>
                        </w:r>
                        <w:hyperlink r:id="rId19" w:history="1">
                          <w:r w:rsidRPr="003F4DB1">
                            <w:rPr>
                              <w:rStyle w:val="Hyperlink"/>
                              <w:rFonts w:ascii="Arial" w:hAnsi="Arial" w:cs="Arial"/>
                            </w:rPr>
                            <w:t>Read more &gt;</w:t>
                          </w:r>
                        </w:hyperlink>
                        <w:r w:rsidRPr="003F4DB1">
                          <w:rPr>
                            <w:rFonts w:ascii="Arial" w:hAnsi="Arial" w:cs="Arial"/>
                            <w:color w:val="2F3538"/>
                          </w:rPr>
                          <w:t xml:space="preserve"> </w:t>
                        </w:r>
                      </w:p>
                      <w:p w:rsidR="009F09BC" w:rsidRPr="003F4DB1" w:rsidRDefault="009F09BC">
                        <w:pPr>
                          <w:pStyle w:val="Heading4"/>
                          <w:spacing w:line="390" w:lineRule="atLeast"/>
                          <w:rPr>
                            <w:rFonts w:ascii="Arial" w:eastAsia="Times New Roman" w:hAnsi="Arial" w:cs="Arial"/>
                            <w:color w:val="2F3538"/>
                          </w:rPr>
                        </w:pPr>
                        <w:r w:rsidRPr="003F4DB1">
                          <w:rPr>
                            <w:rFonts w:ascii="Arial" w:eastAsia="Times New Roman" w:hAnsi="Arial" w:cs="Arial"/>
                            <w:color w:val="2F3538"/>
                          </w:rPr>
                          <w:t>Extension of the Employee Retention Tax Credit (ERTC)</w:t>
                        </w:r>
                      </w:p>
                      <w:p w:rsidR="009F09BC" w:rsidRPr="003F4DB1" w:rsidRDefault="009F09BC">
                        <w:pPr>
                          <w:pStyle w:val="NormalWeb"/>
                          <w:rPr>
                            <w:rFonts w:ascii="Arial" w:hAnsi="Arial" w:cs="Arial"/>
                            <w:color w:val="2F3538"/>
                          </w:rPr>
                        </w:pPr>
                        <w:r w:rsidRPr="003F4DB1">
                          <w:rPr>
                            <w:rFonts w:ascii="Arial" w:hAnsi="Arial" w:cs="Arial"/>
                            <w:color w:val="2F3538"/>
                          </w:rPr>
                          <w:t xml:space="preserve">The ERTC </w:t>
                        </w:r>
                        <w:proofErr w:type="gramStart"/>
                        <w:r w:rsidRPr="003F4DB1">
                          <w:rPr>
                            <w:rFonts w:ascii="Arial" w:hAnsi="Arial" w:cs="Arial"/>
                            <w:color w:val="2F3538"/>
                          </w:rPr>
                          <w:t>was extended</w:t>
                        </w:r>
                        <w:proofErr w:type="gramEnd"/>
                        <w:r w:rsidRPr="003F4DB1">
                          <w:rPr>
                            <w:rFonts w:ascii="Arial" w:hAnsi="Arial" w:cs="Arial"/>
                            <w:color w:val="2F3538"/>
                          </w:rPr>
                          <w:t xml:space="preserve"> until </w:t>
                        </w:r>
                        <w:r w:rsidRPr="003F4DB1">
                          <w:rPr>
                            <w:rStyle w:val="applelinksbody"/>
                            <w:rFonts w:ascii="Arial" w:hAnsi="Arial" w:cs="Arial"/>
                            <w:color w:val="2F3538"/>
                          </w:rPr>
                          <w:t>June 30, 2021</w:t>
                        </w:r>
                        <w:r w:rsidRPr="003F4DB1">
                          <w:rPr>
                            <w:rFonts w:ascii="Arial" w:hAnsi="Arial" w:cs="Arial"/>
                            <w:color w:val="2F3538"/>
                          </w:rPr>
                          <w:t xml:space="preserve"> through the </w:t>
                        </w:r>
                        <w:hyperlink r:id="rId20" w:tgtFrame="_blank" w:history="1">
                          <w:r w:rsidRPr="003F4DB1">
                            <w:rPr>
                              <w:rStyle w:val="Hyperlink"/>
                              <w:rFonts w:ascii="Arial" w:hAnsi="Arial" w:cs="Arial"/>
                            </w:rPr>
                            <w:t>latest COVID relief legislation</w:t>
                          </w:r>
                        </w:hyperlink>
                        <w:r w:rsidRPr="003F4DB1">
                          <w:rPr>
                            <w:rFonts w:ascii="Arial" w:hAnsi="Arial" w:cs="Arial"/>
                            <w:color w:val="2F3538"/>
                          </w:rPr>
                          <w:t xml:space="preserve"> passed by Congress. The legislation increased the credit rate from 50% to 70% of qualified wages and increased the limit per-employee from $10,000 per year to $10,000 for each quarter. </w:t>
                        </w:r>
                      </w:p>
                      <w:p w:rsidR="009F09BC" w:rsidRPr="003F4DB1" w:rsidRDefault="009F09BC">
                        <w:pPr>
                          <w:pStyle w:val="NormalWeb"/>
                          <w:rPr>
                            <w:rFonts w:ascii="Arial" w:hAnsi="Arial" w:cs="Arial"/>
                            <w:color w:val="2F3538"/>
                          </w:rPr>
                        </w:pPr>
                        <w:r w:rsidRPr="003F4DB1">
                          <w:rPr>
                            <w:rFonts w:ascii="Arial" w:hAnsi="Arial" w:cs="Arial"/>
                            <w:color w:val="2F3538"/>
                          </w:rPr>
                          <w:t xml:space="preserve">Paycheck Protection Program (PPP) borrowers may also still qualify for ERTC, reversing earlier legislation that precluded this. The almost 60% of veterinary practices that took PPP loans should also explore this new option. </w:t>
                        </w:r>
                      </w:p>
                      <w:p w:rsidR="009F09BC" w:rsidRPr="003F4DB1" w:rsidRDefault="003F4DB1">
                        <w:pPr>
                          <w:pStyle w:val="Heading4"/>
                          <w:spacing w:line="390" w:lineRule="atLeast"/>
                          <w:rPr>
                            <w:rFonts w:ascii="Arial" w:eastAsia="Times New Roman" w:hAnsi="Arial" w:cs="Arial"/>
                            <w:color w:val="2F3538"/>
                          </w:rPr>
                        </w:pPr>
                        <w:hyperlink r:id="rId21" w:tgtFrame="_blank" w:history="1">
                          <w:r w:rsidR="009F09BC" w:rsidRPr="003F4DB1">
                            <w:rPr>
                              <w:rStyle w:val="Hyperlink"/>
                              <w:rFonts w:ascii="Arial" w:eastAsia="Times New Roman" w:hAnsi="Arial" w:cs="Arial"/>
                              <w:color w:val="2F3538"/>
                            </w:rPr>
                            <w:t>Grants available to support rural veterinary practice</w:t>
                          </w:r>
                        </w:hyperlink>
                      </w:p>
                      <w:p w:rsidR="009F09BC" w:rsidRPr="003F4DB1" w:rsidRDefault="009F09BC">
                        <w:pPr>
                          <w:pStyle w:val="NormalWeb"/>
                          <w:rPr>
                            <w:rFonts w:ascii="Arial" w:hAnsi="Arial" w:cs="Arial"/>
                            <w:color w:val="2F3538"/>
                          </w:rPr>
                        </w:pPr>
                        <w:r w:rsidRPr="003F4DB1">
                          <w:rPr>
                            <w:rFonts w:ascii="Arial" w:hAnsi="Arial" w:cs="Arial"/>
                            <w:color w:val="2F3538"/>
                          </w:rPr>
                          <w:t xml:space="preserve">A federal grant program designed to help address rural veterinary shortages is accepting applications for 2021 until mid-April. </w:t>
                        </w:r>
                        <w:r w:rsidRPr="003F4DB1">
                          <w:rPr>
                            <w:rStyle w:val="Strong"/>
                            <w:rFonts w:ascii="Arial" w:hAnsi="Arial" w:cs="Arial"/>
                            <w:color w:val="2F3538"/>
                          </w:rPr>
                          <w:t xml:space="preserve">Applications are due </w:t>
                        </w:r>
                        <w:r w:rsidRPr="003F4DB1">
                          <w:rPr>
                            <w:rStyle w:val="applelinksbody"/>
                            <w:rFonts w:ascii="Arial" w:hAnsi="Arial" w:cs="Arial"/>
                            <w:b/>
                            <w:bCs/>
                            <w:color w:val="2F3538"/>
                          </w:rPr>
                          <w:t>April 16, 2021</w:t>
                        </w:r>
                        <w:r w:rsidRPr="003F4DB1">
                          <w:rPr>
                            <w:rFonts w:ascii="Arial" w:hAnsi="Arial" w:cs="Arial"/>
                            <w:color w:val="2F3538"/>
                          </w:rPr>
                          <w:t xml:space="preserve">, for the Veterinary Services Grant Program (VSGP). The program, overseen by the U.S. Department of Agriculture's National Institute of Food and Agriculture (USDA-NIFA), provides grants to develop, implement, and </w:t>
                        </w:r>
                        <w:r w:rsidRPr="003F4DB1">
                          <w:rPr>
                            <w:rFonts w:ascii="Arial" w:hAnsi="Arial" w:cs="Arial"/>
                            <w:color w:val="2F3538"/>
                          </w:rPr>
                          <w:lastRenderedPageBreak/>
                          <w:t>sustain veterinary services and relieve veterinarian shortage situations across the United States.  </w:t>
                        </w:r>
                        <w:hyperlink r:id="rId22" w:history="1">
                          <w:r w:rsidRPr="003F4DB1">
                            <w:rPr>
                              <w:rStyle w:val="Hyperlink"/>
                              <w:rFonts w:ascii="Arial" w:hAnsi="Arial" w:cs="Arial"/>
                            </w:rPr>
                            <w:t>Read more &gt;</w:t>
                          </w:r>
                        </w:hyperlink>
                        <w:r w:rsidRPr="003F4DB1">
                          <w:rPr>
                            <w:rFonts w:ascii="Arial" w:hAnsi="Arial" w:cs="Arial"/>
                            <w:color w:val="2F3538"/>
                          </w:rPr>
                          <w:t xml:space="preserve"> </w:t>
                        </w:r>
                      </w:p>
                      <w:p w:rsidR="009F09BC" w:rsidRPr="003F4DB1" w:rsidRDefault="009F09BC">
                        <w:pPr>
                          <w:pStyle w:val="Heading4"/>
                          <w:spacing w:line="390" w:lineRule="atLeast"/>
                          <w:rPr>
                            <w:rFonts w:ascii="Arial" w:eastAsia="Times New Roman" w:hAnsi="Arial" w:cs="Arial"/>
                            <w:color w:val="2F3538"/>
                          </w:rPr>
                        </w:pPr>
                        <w:r w:rsidRPr="003F4DB1">
                          <w:rPr>
                            <w:rFonts w:ascii="Arial" w:eastAsia="Times New Roman" w:hAnsi="Arial" w:cs="Arial"/>
                            <w:color w:val="2F3538"/>
                          </w:rPr>
                          <w:t>Biden Administration Extends COVID-19 Student Debt Relief</w:t>
                        </w:r>
                      </w:p>
                      <w:p w:rsidR="009F09BC" w:rsidRPr="003F4DB1" w:rsidRDefault="009F09BC">
                        <w:pPr>
                          <w:pStyle w:val="NormalWeb"/>
                          <w:rPr>
                            <w:rFonts w:ascii="Arial" w:hAnsi="Arial" w:cs="Arial"/>
                            <w:color w:val="2F3538"/>
                          </w:rPr>
                        </w:pPr>
                        <w:r w:rsidRPr="003F4DB1">
                          <w:rPr>
                            <w:rFonts w:ascii="Arial" w:hAnsi="Arial" w:cs="Arial"/>
                            <w:color w:val="2F3538"/>
                          </w:rPr>
                          <w:t xml:space="preserve">On </w:t>
                        </w:r>
                        <w:r w:rsidRPr="003F4DB1">
                          <w:rPr>
                            <w:rStyle w:val="applelinksbody"/>
                            <w:rFonts w:ascii="Arial" w:hAnsi="Arial" w:cs="Arial"/>
                            <w:color w:val="2F3538"/>
                          </w:rPr>
                          <w:t>January 20, 2021</w:t>
                        </w:r>
                        <w:r w:rsidRPr="003F4DB1">
                          <w:rPr>
                            <w:rFonts w:ascii="Arial" w:hAnsi="Arial" w:cs="Arial"/>
                            <w:color w:val="2F3538"/>
                          </w:rPr>
                          <w:t xml:space="preserve">, President Biden </w:t>
                        </w:r>
                        <w:hyperlink r:id="rId23" w:tgtFrame="_blank" w:history="1">
                          <w:r w:rsidRPr="003F4DB1">
                            <w:rPr>
                              <w:rStyle w:val="Hyperlink"/>
                              <w:rFonts w:ascii="Arial" w:hAnsi="Arial" w:cs="Arial"/>
                            </w:rPr>
                            <w:t>directed</w:t>
                          </w:r>
                        </w:hyperlink>
                        <w:r w:rsidRPr="003F4DB1">
                          <w:rPr>
                            <w:rFonts w:ascii="Arial" w:hAnsi="Arial" w:cs="Arial"/>
                            <w:color w:val="2F3538"/>
                          </w:rPr>
                          <w:t xml:space="preserve"> the U.S. Department of Education to continue the suspension on repayment requirements and interest accrual on federal student loans until further notice. The suspension was set to expire on </w:t>
                        </w:r>
                        <w:r w:rsidRPr="003F4DB1">
                          <w:rPr>
                            <w:rStyle w:val="applelinksbody"/>
                            <w:rFonts w:ascii="Arial" w:hAnsi="Arial" w:cs="Arial"/>
                            <w:color w:val="2F3538"/>
                          </w:rPr>
                          <w:t>January 31, 2021</w:t>
                        </w:r>
                        <w:r w:rsidRPr="003F4DB1">
                          <w:rPr>
                            <w:rFonts w:ascii="Arial" w:hAnsi="Arial" w:cs="Arial"/>
                            <w:color w:val="2F3538"/>
                          </w:rPr>
                          <w:t xml:space="preserve">. </w:t>
                        </w:r>
                      </w:p>
                      <w:p w:rsidR="009F09BC" w:rsidRPr="003F4DB1" w:rsidRDefault="003F4DB1">
                        <w:pPr>
                          <w:pStyle w:val="Heading4"/>
                          <w:spacing w:line="390" w:lineRule="atLeast"/>
                          <w:rPr>
                            <w:rFonts w:ascii="Arial" w:eastAsia="Times New Roman" w:hAnsi="Arial" w:cs="Arial"/>
                            <w:color w:val="2F3538"/>
                          </w:rPr>
                        </w:pPr>
                        <w:hyperlink r:id="rId24" w:tgtFrame="_blank" w:history="1">
                          <w:r w:rsidR="009F09BC" w:rsidRPr="003F4DB1">
                            <w:rPr>
                              <w:rStyle w:val="Hyperlink"/>
                              <w:rFonts w:ascii="Arial" w:eastAsia="Times New Roman" w:hAnsi="Arial" w:cs="Arial"/>
                              <w:color w:val="2F3538"/>
                            </w:rPr>
                            <w:t xml:space="preserve">FDA issues alert: food recall expands </w:t>
                          </w:r>
                        </w:hyperlink>
                      </w:p>
                      <w:p w:rsidR="009F09BC" w:rsidRPr="003F4DB1" w:rsidRDefault="009F09BC">
                        <w:pPr>
                          <w:pStyle w:val="NormalWeb"/>
                          <w:rPr>
                            <w:rFonts w:ascii="Arial" w:hAnsi="Arial" w:cs="Arial"/>
                            <w:color w:val="2F3538"/>
                          </w:rPr>
                        </w:pPr>
                        <w:r w:rsidRPr="003F4DB1">
                          <w:rPr>
                            <w:rFonts w:ascii="Arial" w:hAnsi="Arial" w:cs="Arial"/>
                            <w:color w:val="2F3538"/>
                          </w:rPr>
                          <w:t xml:space="preserve">The U.S. Food and Drug Administration (FDA) is alerting veterinary professionals and pet owners to potentially fatal levels of aflatoxins in certain </w:t>
                        </w:r>
                        <w:proofErr w:type="spellStart"/>
                        <w:r w:rsidRPr="003F4DB1">
                          <w:rPr>
                            <w:rFonts w:ascii="Arial" w:hAnsi="Arial" w:cs="Arial"/>
                            <w:color w:val="2F3538"/>
                          </w:rPr>
                          <w:t>Sportmix</w:t>
                        </w:r>
                        <w:proofErr w:type="spellEnd"/>
                        <w:r w:rsidRPr="003F4DB1">
                          <w:rPr>
                            <w:rFonts w:ascii="Arial" w:hAnsi="Arial" w:cs="Arial"/>
                            <w:color w:val="2F3538"/>
                          </w:rPr>
                          <w:t xml:space="preserve"> pet food products, which have been recalled. As of January 11, 2021, more than 70 dogs have died and more than 80 have become sick after consuming the products, according to the FDA. Not all cases </w:t>
                        </w:r>
                        <w:proofErr w:type="gramStart"/>
                        <w:r w:rsidRPr="003F4DB1">
                          <w:rPr>
                            <w:rFonts w:ascii="Arial" w:hAnsi="Arial" w:cs="Arial"/>
                            <w:color w:val="2F3538"/>
                          </w:rPr>
                          <w:t>have been officially confirmed</w:t>
                        </w:r>
                        <w:proofErr w:type="gramEnd"/>
                        <w:r w:rsidRPr="003F4DB1">
                          <w:rPr>
                            <w:rFonts w:ascii="Arial" w:hAnsi="Arial" w:cs="Arial"/>
                            <w:color w:val="2F3538"/>
                          </w:rPr>
                          <w:t xml:space="preserve"> as aflatoxin poisoning through laboratory testing or record review. </w:t>
                        </w:r>
                        <w:hyperlink r:id="rId25" w:history="1">
                          <w:r w:rsidRPr="003F4DB1">
                            <w:rPr>
                              <w:rStyle w:val="Hyperlink"/>
                              <w:rFonts w:ascii="Arial" w:hAnsi="Arial" w:cs="Arial"/>
                            </w:rPr>
                            <w:t>Read more &gt;</w:t>
                          </w:r>
                        </w:hyperlink>
                      </w:p>
                      <w:p w:rsidR="009F09BC" w:rsidRPr="003F4DB1" w:rsidRDefault="009F09BC">
                        <w:pPr>
                          <w:pStyle w:val="Heading4"/>
                          <w:spacing w:line="390" w:lineRule="atLeast"/>
                          <w:rPr>
                            <w:rFonts w:ascii="Arial" w:eastAsia="Times New Roman" w:hAnsi="Arial" w:cs="Arial"/>
                            <w:color w:val="2F3538"/>
                          </w:rPr>
                        </w:pPr>
                        <w:r w:rsidRPr="003F4DB1">
                          <w:rPr>
                            <w:rFonts w:ascii="Arial" w:eastAsia="Times New Roman" w:hAnsi="Arial" w:cs="Arial"/>
                            <w:color w:val="2F3538"/>
                          </w:rPr>
                          <w:t>State Advocacy Division Update</w:t>
                        </w:r>
                      </w:p>
                      <w:p w:rsidR="009F09BC" w:rsidRPr="003F4DB1" w:rsidRDefault="009F09BC">
                        <w:pPr>
                          <w:pStyle w:val="NormalWeb"/>
                          <w:rPr>
                            <w:rFonts w:ascii="Arial" w:hAnsi="Arial" w:cs="Arial"/>
                            <w:color w:val="2F3538"/>
                          </w:rPr>
                        </w:pPr>
                        <w:r w:rsidRPr="003F4DB1">
                          <w:rPr>
                            <w:rFonts w:ascii="Arial" w:hAnsi="Arial" w:cs="Arial"/>
                            <w:color w:val="2F3538"/>
                          </w:rPr>
                          <w:t xml:space="preserve">As states gavel back into legislative sessions across the country, AVMA's Division of State Advocacy Team has been diligently monitoring all of the bills and regulations that may be considered and identifying the ones that could have an impact on the veterinary profession. Early trends include legislation pertaining to animal abuse, noneconomic damages, ways to address the opioid epidemic, and restrictions on procedures such as declawing and tail docking. </w:t>
                        </w:r>
                      </w:p>
                      <w:p w:rsidR="009F09BC" w:rsidRPr="003F4DB1" w:rsidRDefault="009F09BC">
                        <w:pPr>
                          <w:pStyle w:val="NormalWeb"/>
                          <w:rPr>
                            <w:rFonts w:ascii="Arial" w:hAnsi="Arial" w:cs="Arial"/>
                            <w:color w:val="2F3538"/>
                          </w:rPr>
                        </w:pPr>
                        <w:r w:rsidRPr="003F4DB1">
                          <w:rPr>
                            <w:rFonts w:ascii="Arial" w:hAnsi="Arial" w:cs="Arial"/>
                            <w:color w:val="2F3538"/>
                          </w:rPr>
                          <w:t>States continue to consider measures in response to the COVID-19 pandemic, including policy that would prohibit employers from requiring employees to receive the vaccine. The AVMA is working closely with the state veterinary medical associations as they advocate for veterinarians and their teams to receive the vaccine as soon as possible.</w:t>
                        </w:r>
                      </w:p>
                      <w:p w:rsidR="009F09BC" w:rsidRPr="003F4DB1" w:rsidRDefault="009F09BC" w:rsidP="009F09BC">
                        <w:pPr>
                          <w:pStyle w:val="NormalWeb"/>
                          <w:rPr>
                            <w:rFonts w:ascii="Arial" w:eastAsia="Times New Roman" w:hAnsi="Arial" w:cs="Arial"/>
                            <w:color w:val="2F3538"/>
                          </w:rPr>
                        </w:pPr>
                        <w:r w:rsidRPr="003F4DB1">
                          <w:rPr>
                            <w:rFonts w:ascii="Arial" w:hAnsi="Arial" w:cs="Arial"/>
                            <w:color w:val="2F3538"/>
                          </w:rPr>
                          <w:t> </w:t>
                        </w:r>
                        <w:hyperlink r:id="rId26" w:history="1">
                          <w:r w:rsidRPr="003F4DB1">
                            <w:rPr>
                              <w:rStyle w:val="Hyperlink"/>
                              <w:rFonts w:ascii="Arial" w:hAnsi="Arial" w:cs="Arial"/>
                            </w:rPr>
                            <w:t>Read the Latest State Legislative Update &gt;</w:t>
                          </w:r>
                        </w:hyperlink>
                      </w:p>
                      <w:tbl>
                        <w:tblPr>
                          <w:tblW w:w="5000" w:type="pct"/>
                          <w:jc w:val="center"/>
                          <w:tblCellMar>
                            <w:left w:w="0" w:type="dxa"/>
                            <w:right w:w="0" w:type="dxa"/>
                          </w:tblCellMar>
                          <w:tblLook w:val="04A0" w:firstRow="1" w:lastRow="0" w:firstColumn="1" w:lastColumn="0" w:noHBand="0" w:noVBand="1"/>
                        </w:tblPr>
                        <w:tblGrid>
                          <w:gridCol w:w="8250"/>
                        </w:tblGrid>
                        <w:tr w:rsidR="009F09BC" w:rsidRPr="003F4DB1">
                          <w:trPr>
                            <w:jc w:val="center"/>
                          </w:trPr>
                          <w:tc>
                            <w:tcPr>
                              <w:tcW w:w="0" w:type="auto"/>
                              <w:vAlign w:val="center"/>
                            </w:tcPr>
                            <w:p w:rsidR="009F09BC" w:rsidRPr="003F4DB1" w:rsidRDefault="009F09BC">
                              <w:pPr>
                                <w:jc w:val="center"/>
                                <w:rPr>
                                  <w:rFonts w:ascii="Arial" w:eastAsia="Times New Roman" w:hAnsi="Arial" w:cs="Arial"/>
                                  <w:color w:val="2F3538"/>
                                </w:rPr>
                              </w:pPr>
                            </w:p>
                            <w:tbl>
                              <w:tblPr>
                                <w:tblW w:w="4500" w:type="dxa"/>
                                <w:jc w:val="center"/>
                                <w:tblCellMar>
                                  <w:left w:w="0" w:type="dxa"/>
                                  <w:right w:w="0" w:type="dxa"/>
                                </w:tblCellMar>
                                <w:tblLook w:val="04A0" w:firstRow="1" w:lastRow="0" w:firstColumn="1" w:lastColumn="0" w:noHBand="0" w:noVBand="1"/>
                              </w:tblPr>
                              <w:tblGrid>
                                <w:gridCol w:w="2250"/>
                                <w:gridCol w:w="2250"/>
                              </w:tblGrid>
                              <w:tr w:rsidR="009F09BC" w:rsidRPr="003F4DB1" w:rsidTr="009F09BC">
                                <w:trPr>
                                  <w:jc w:val="center"/>
                                </w:trPr>
                                <w:tc>
                                  <w:tcPr>
                                    <w:tcW w:w="0" w:type="auto"/>
                                    <w:vAlign w:val="center"/>
                                  </w:tcPr>
                                  <w:p w:rsidR="009F09BC" w:rsidRPr="003F4DB1" w:rsidRDefault="009F09BC">
                                    <w:pPr>
                                      <w:jc w:val="right"/>
                                      <w:rPr>
                                        <w:rFonts w:ascii="Arial" w:eastAsia="Times New Roman" w:hAnsi="Arial" w:cs="Arial"/>
                                        <w:b/>
                                        <w:bCs/>
                                        <w:color w:val="455560"/>
                                      </w:rPr>
                                    </w:pPr>
                                  </w:p>
                                </w:tc>
                                <w:tc>
                                  <w:tcPr>
                                    <w:tcW w:w="0" w:type="auto"/>
                                    <w:vAlign w:val="center"/>
                                  </w:tcPr>
                                  <w:p w:rsidR="009F09BC" w:rsidRPr="003F4DB1" w:rsidRDefault="009F09BC">
                                    <w:pPr>
                                      <w:jc w:val="center"/>
                                      <w:rPr>
                                        <w:rFonts w:ascii="Arial" w:eastAsia="Times New Roman" w:hAnsi="Arial" w:cs="Arial"/>
                                      </w:rPr>
                                    </w:pPr>
                                  </w:p>
                                </w:tc>
                              </w:tr>
                            </w:tbl>
                            <w:p w:rsidR="009F09BC" w:rsidRPr="003F4DB1" w:rsidRDefault="009F09BC">
                              <w:pPr>
                                <w:jc w:val="center"/>
                                <w:rPr>
                                  <w:rFonts w:ascii="Arial" w:eastAsia="Times New Roman" w:hAnsi="Arial" w:cs="Arial"/>
                                </w:rPr>
                              </w:pPr>
                            </w:p>
                          </w:tc>
                        </w:tr>
                      </w:tbl>
                      <w:p w:rsidR="009F09BC" w:rsidRPr="003F4DB1" w:rsidRDefault="009F09BC">
                        <w:pPr>
                          <w:jc w:val="center"/>
                          <w:rPr>
                            <w:rFonts w:ascii="Arial" w:eastAsia="Times New Roman" w:hAnsi="Arial" w:cs="Arial"/>
                          </w:rPr>
                        </w:pPr>
                      </w:p>
                    </w:tc>
                  </w:tr>
                </w:tbl>
                <w:p w:rsidR="009F09BC" w:rsidRPr="003F4DB1" w:rsidRDefault="009F09BC">
                  <w:pPr>
                    <w:jc w:val="center"/>
                    <w:rPr>
                      <w:rFonts w:ascii="Arial" w:eastAsia="Times New Roman" w:hAnsi="Arial" w:cs="Arial"/>
                    </w:rPr>
                  </w:pPr>
                </w:p>
              </w:tc>
            </w:tr>
          </w:tbl>
          <w:p w:rsidR="009F09BC" w:rsidRPr="003F4DB1" w:rsidRDefault="009F09BC">
            <w:pPr>
              <w:jc w:val="center"/>
              <w:rPr>
                <w:rFonts w:ascii="Arial" w:eastAsia="Times New Roman" w:hAnsi="Arial" w:cs="Arial"/>
              </w:rPr>
            </w:pPr>
          </w:p>
        </w:tc>
      </w:tr>
    </w:tbl>
    <w:p w:rsidR="00F009B4" w:rsidRPr="003F4DB1" w:rsidRDefault="00F009B4">
      <w:pPr>
        <w:rPr>
          <w:rFonts w:ascii="Arial" w:hAnsi="Arial" w:cs="Arial"/>
        </w:rPr>
      </w:pPr>
    </w:p>
    <w:sectPr w:rsidR="00F009B4" w:rsidRPr="003F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73FA"/>
    <w:multiLevelType w:val="multilevel"/>
    <w:tmpl w:val="1F74F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BC"/>
    <w:rsid w:val="003C5A95"/>
    <w:rsid w:val="003F4DB1"/>
    <w:rsid w:val="009F09BC"/>
    <w:rsid w:val="00B87073"/>
    <w:rsid w:val="00F0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9324"/>
  <w15:chartTrackingRefBased/>
  <w15:docId w15:val="{7358C379-A6B8-48FD-95B6-002EB8B1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9BC"/>
    <w:pPr>
      <w:jc w:val="left"/>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9F09B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F09BC"/>
    <w:rPr>
      <w:rFonts w:ascii="Times New Roman" w:hAnsi="Times New Roman" w:cs="Times New Roman"/>
      <w:b/>
      <w:bCs/>
      <w:sz w:val="24"/>
      <w:szCs w:val="24"/>
    </w:rPr>
  </w:style>
  <w:style w:type="character" w:styleId="Hyperlink">
    <w:name w:val="Hyperlink"/>
    <w:basedOn w:val="DefaultParagraphFont"/>
    <w:uiPriority w:val="99"/>
    <w:unhideWhenUsed/>
    <w:rsid w:val="009F09BC"/>
    <w:rPr>
      <w:color w:val="00838C"/>
      <w:u w:val="single"/>
    </w:rPr>
  </w:style>
  <w:style w:type="paragraph" w:styleId="NormalWeb">
    <w:name w:val="Normal (Web)"/>
    <w:basedOn w:val="Normal"/>
    <w:uiPriority w:val="99"/>
    <w:unhideWhenUsed/>
    <w:rsid w:val="009F09BC"/>
    <w:pPr>
      <w:spacing w:before="100" w:beforeAutospacing="1" w:after="100" w:afterAutospacing="1" w:line="330" w:lineRule="atLeast"/>
    </w:pPr>
  </w:style>
  <w:style w:type="character" w:customStyle="1" w:styleId="applelinksbody">
    <w:name w:val="applelinksbody"/>
    <w:basedOn w:val="DefaultParagraphFont"/>
    <w:rsid w:val="009F09BC"/>
  </w:style>
  <w:style w:type="character" w:styleId="Strong">
    <w:name w:val="Strong"/>
    <w:basedOn w:val="DefaultParagraphFont"/>
    <w:uiPriority w:val="22"/>
    <w:qFormat/>
    <w:rsid w:val="009F0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5249">
      <w:bodyDiv w:val="1"/>
      <w:marLeft w:val="0"/>
      <w:marRight w:val="0"/>
      <w:marTop w:val="0"/>
      <w:marBottom w:val="0"/>
      <w:divBdr>
        <w:top w:val="none" w:sz="0" w:space="0" w:color="auto"/>
        <w:left w:val="none" w:sz="0" w:space="0" w:color="auto"/>
        <w:bottom w:val="none" w:sz="0" w:space="0" w:color="auto"/>
        <w:right w:val="none" w:sz="0" w:space="0" w:color="auto"/>
      </w:divBdr>
    </w:div>
    <w:div w:id="243145430">
      <w:bodyDiv w:val="1"/>
      <w:marLeft w:val="0"/>
      <w:marRight w:val="0"/>
      <w:marTop w:val="0"/>
      <w:marBottom w:val="0"/>
      <w:divBdr>
        <w:top w:val="none" w:sz="0" w:space="0" w:color="auto"/>
        <w:left w:val="none" w:sz="0" w:space="0" w:color="auto"/>
        <w:bottom w:val="none" w:sz="0" w:space="0" w:color="auto"/>
        <w:right w:val="none" w:sz="0" w:space="0" w:color="auto"/>
      </w:divBdr>
    </w:div>
    <w:div w:id="895315623">
      <w:bodyDiv w:val="1"/>
      <w:marLeft w:val="0"/>
      <w:marRight w:val="0"/>
      <w:marTop w:val="0"/>
      <w:marBottom w:val="0"/>
      <w:divBdr>
        <w:top w:val="none" w:sz="0" w:space="0" w:color="auto"/>
        <w:left w:val="none" w:sz="0" w:space="0" w:color="auto"/>
        <w:bottom w:val="none" w:sz="0" w:space="0" w:color="auto"/>
        <w:right w:val="none" w:sz="0" w:space="0" w:color="auto"/>
      </w:divBdr>
    </w:div>
    <w:div w:id="1124736285">
      <w:bodyDiv w:val="1"/>
      <w:marLeft w:val="0"/>
      <w:marRight w:val="0"/>
      <w:marTop w:val="0"/>
      <w:marBottom w:val="0"/>
      <w:divBdr>
        <w:top w:val="none" w:sz="0" w:space="0" w:color="auto"/>
        <w:left w:val="none" w:sz="0" w:space="0" w:color="auto"/>
        <w:bottom w:val="none" w:sz="0" w:space="0" w:color="auto"/>
        <w:right w:val="none" w:sz="0" w:space="0" w:color="auto"/>
      </w:divBdr>
    </w:div>
    <w:div w:id="1184321913">
      <w:bodyDiv w:val="1"/>
      <w:marLeft w:val="0"/>
      <w:marRight w:val="0"/>
      <w:marTop w:val="0"/>
      <w:marBottom w:val="0"/>
      <w:divBdr>
        <w:top w:val="none" w:sz="0" w:space="0" w:color="auto"/>
        <w:left w:val="none" w:sz="0" w:space="0" w:color="auto"/>
        <w:bottom w:val="none" w:sz="0" w:space="0" w:color="auto"/>
        <w:right w:val="none" w:sz="0" w:space="0" w:color="auto"/>
      </w:divBdr>
    </w:div>
    <w:div w:id="12677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x9-IBu7sTS7xmlPKv25pkonOfCiU2O2S4rdIV-LOldu5Nv4d-CY0Rr_tAkszrGNN51i9_mYerKoxLAm7_XWa_vlDIR3V0kyyycOY1_qhdlMhSV6ykL15kBT8UIc5axlzGdP6RpQOZHaR47yJ2V8WN6e6A7_CU75sOAnjmjBzXMU=&amp;c=N-jgNgUXC5FnkhmYo6hwjYTFhl0v3JZYUO6N8qurc3gZjUbhDKnxEw==&amp;ch=doqdNJyKgI1oTYxdNf-zlXAriFwkjtg5_GqqwlLqzzFxf80sa_qE5Q==" TargetMode="External"/><Relationship Id="rId13" Type="http://schemas.openxmlformats.org/officeDocument/2006/relationships/hyperlink" Target="http://r20.rs6.net/tn.jsp?f=001x9-IBu7sTS7xmlPKv25pkonOfCiU2O2S4rdIV-LOldu5Nv4d-CY0Rr_tAkszrGNNYtx7AR7N0TdeHN6OqerjmyqsKfi3GFHnucAJzxgvQP9sMrAcQVAlo-adF7Y2C7WxW1b3O6ob5491y9qRtJPg51k-73xXqTaGgA_5vD1bMvoYOsVOpDvkpnOmsjm_s34Ch5YhoJu8GgMTp-ZenQa7rb59XC2bUjxIkGdpmKaNY4Ng28lWYW15HBYzj-LrZDbyY4-b13EIZrNNIety7YAmgC4FDxl9-7WF_TyXN_FgMFaQm7LWs5x3lN_MCbFopd3H-RobjSehsMWpHq8VsKvl-6kxSGcUX1g0QwHnzIixGwVU2imQ-A_IigvzX2tXGVv0wJbW34-OaM9dCvUZIo3dZ7fNXg4c58cDo4VrtolGe_ZRiU3QvuCH_RWru5rPEpW4AxDnHeQJ65nDk67o1Wp0ZO9fTzA1ATS_qU_uJxysHOn4oOI1KlA-TbWXYEm3Jjp7MjzaettktCA5CamVDfFjafQQfSdNIemJc9J7DrcZBhB6t9G-2yC7gzmAl8ENbETy5J8NA7rsl427vFV9QJBe-m9GFI63qcSaYZaADM7D6MPqy3jYwSVk2v2kWu7PUlqdPq1zSFmZlVa2X7s21cCTGxWrT-2o57Jq4RjuRGt5gbQcbdAzKR_cBqoFz22rloKgAkUc3WW1Xunw6F8Mtf9Sv1Z6sjKSIykj4miYyVKyI81csDin5JGFPO3LCUj7r5F9SjoJkFSl341ax9WKGCa2sHKEmVeNUCXafKmLHF10HCfod7VCDaRwcmdSNOOcocxy24hKglhYzG0NEyAZI0kFtVxqGY5wEcmSyrPqmH9zXXj89D7kAYwfdrbEOWRHOFiw_0jS2wzdW5d5TYswyvCye0Z-vBepG8A5&amp;c=N-jgNgUXC5FnkhmYo6hwjYTFhl0v3JZYUO6N8qurc3gZjUbhDKnxEw==&amp;ch=doqdNJyKgI1oTYxdNf-zlXAriFwkjtg5_GqqwlLqzzFxf80sa_qE5Q==" TargetMode="External"/><Relationship Id="rId18" Type="http://schemas.openxmlformats.org/officeDocument/2006/relationships/hyperlink" Target="http://www.ne16.com/t/2729896/103094372/2855941/0/1003447/?f5d63f87=QVZNQSUyMEFkdm9jYXRlJTIwLSUyMEphbnVhcnklMjAyMDIx&amp;b44ed14b=YjMwMTBjNjAtM2FjNi00NjAzLThlZjMtNmU0OGQ0ZmFhY2M0&amp;x=7b89e4c4" TargetMode="External"/><Relationship Id="rId26" Type="http://schemas.openxmlformats.org/officeDocument/2006/relationships/hyperlink" Target="http://www.ne16.com/t/2729896/103094372/2855947/0/1003447/?f5d63f87=QVZNQSUyMEFkdm9jYXRlJTIwLSUyMEphbnVhcnklMjAyMDIx&amp;b44ed14b=YjMwMTBjNjAtM2FjNi00NjAzLThlZjMtNmU0OGQ0ZmFhY2M0&amp;x=093347fb" TargetMode="External"/><Relationship Id="rId3" Type="http://schemas.openxmlformats.org/officeDocument/2006/relationships/settings" Target="settings.xml"/><Relationship Id="rId21" Type="http://schemas.openxmlformats.org/officeDocument/2006/relationships/hyperlink" Target="http://www.ne16.com/t/2729896/103094372/2856451/0/1003447/?f5d63f87=QVZNQSUyMEFkdm9jYXRlJTIwLSUyMEphbnVhcnklMjAyMDIx&amp;b44ed14b=YjMwMTBjNjAtM2FjNi00NjAzLThlZjMtNmU0OGQ0ZmFhY2M0&amp;x=6f197667" TargetMode="External"/><Relationship Id="rId7" Type="http://schemas.openxmlformats.org/officeDocument/2006/relationships/image" Target="media/image3.jpeg"/><Relationship Id="rId12" Type="http://schemas.openxmlformats.org/officeDocument/2006/relationships/hyperlink" Target="http://r20.rs6.net/tn.jsp?f=001x9-IBu7sTS7xmlPKv25pkonOfCiU2O2S4rdIV-LOldu5Nv4d-CY0Rr_tAkszrGNNYtx7AR7N0TdeHN6OqerjmyqsKfi3GFHnucAJzxgvQP9sMrAcQVAlo-adF7Y2C7WxW1b3O6ob5491y9qRtJPg51k-73xXqTaGgA_5vD1bMvoYOsVOpDvkpnOmsjm_s34Ch5YhoJu8GgMTp-ZenQa7rb59XC2bUjxIkGdpmKaNY4Ng28lWYW15HBYzj-LrZDbyY4-b13EIZrNNIety7YAmgC4FDxl9-7WF_TyXN_FgMFaQm7LWs5x3lN_MCbFopd3H-RobjSehsMWpHq8VsKvl-6kxSGcUX1g0QwHnzIixGwVU2imQ-A_IigvzX2tXGVv0wJbW34-OaM9dCvUZIo3dZ7fNXg4c58cDo4VrtolGe_ZRiU3QvuCH_RWru5rPEpW4AxDnHeQJ65nDk67o1Wp0ZO9fTzA1ATS_qU_uJxysHOn4oOI1KlA-TbWXYEm3Jjp7MjzaettktCA5CamVDfFjafQQfSdNIemJc9J7DrcZBhB6t9G-2yC7gzmAl8ENbETy5J8NA7rsl427vFV9QJBe-m9GFI63qcSaYZaADM7D6MPqy3jYwSVk2v2kWu7PUlqdPq1zSFmZlVa2X7s21cCTGxWrT-2o57Jq4RjuRGt5gbQcbdAzKR_cBqoFz22rloKgAkUc3WW1Xunw6F8Mtf9Sv1Z6sjKSIykj4miYyVKyI81csDin5JGFPO3LCUj7r5F9SjoJkFSl341ax9WKGCa2sHKEmVeNUCXafKmLHF10HCfod7VCDaRwcmdSNOOcocxy24hKglhYzG0NEyAZI0kFtVxqGY5wEcmSyrPqmH9zXXj89D7kAYwfdrbEOWRHOFiw_0jS2wzdW5d5TYswyvCye0Z-vBepG8A5&amp;c=N-jgNgUXC5FnkhmYo6hwjYTFhl0v3JZYUO6N8qurc3gZjUbhDKnxEw==&amp;ch=doqdNJyKgI1oTYxdNf-zlXAriFwkjtg5_GqqwlLqzzFxf80sa_qE5Q==" TargetMode="External"/><Relationship Id="rId17" Type="http://schemas.openxmlformats.org/officeDocument/2006/relationships/image" Target="media/image4.jpeg"/><Relationship Id="rId25" Type="http://schemas.openxmlformats.org/officeDocument/2006/relationships/hyperlink" Target="http://www.ne16.com/t/2729896/103094372/2855946/0/1003447/?f5d63f87=QVZNQSUyMEFkdm9jYXRlJTIwLSUyMEphbnVhcnklMjAyMDIx&amp;b44ed14b=YjMwMTBjNjAtM2FjNi00NjAzLThlZjMtNmU0OGQ0ZmFhY2M0&amp;x=2dd2f79c" TargetMode="External"/><Relationship Id="rId2" Type="http://schemas.openxmlformats.org/officeDocument/2006/relationships/styles" Target="styles.xml"/><Relationship Id="rId16" Type="http://schemas.openxmlformats.org/officeDocument/2006/relationships/hyperlink" Target="http://www.ne16.com/t/2729896/103094372/2855940/0/1003447/?f5d63f87=QVZNQSUyMEFkdm9jYXRlJTIwLSUyMEphbnVhcnklMjAyMDIx&amp;b44ed14b=YjMwMTBjNjAtM2FjNi00NjAzLThlZjMtNmU0OGQ0ZmFhY2M0&amp;x=758e1284" TargetMode="External"/><Relationship Id="rId20" Type="http://schemas.openxmlformats.org/officeDocument/2006/relationships/hyperlink" Target="http://www.ne16.com/t/2729896/103094372/2855943/0/1003447/?f5d63f87=QVZNQSUyMEFkdm9jYXRlJTIwLSUyMEphbnVhcnklMjAyMDIx&amp;b44ed14b=YjMwMTBjNjAtM2FjNi00NjAzLThlZjMtNmU0OGQ0ZmFhY2M0&amp;x=b5928819"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r20.rs6.net/tn.jsp?f=001x9-IBu7sTS7xmlPKv25pkonOfCiU2O2S4rdIV-LOldu5Nv4d-CY0Rr_tAkszrGNNUIWrjMh1OpRHFlQ4C6cRplVQBHwbZBPDHyTyFeXAINGh81Zsozj9tCMEp1PJSRMUgRJ35UKfGUBkilmv78rJqL0rHWwf-5HE3bbhGtD_zJU=&amp;c=N-jgNgUXC5FnkhmYo6hwjYTFhl0v3JZYUO6N8qurc3gZjUbhDKnxEw==&amp;ch=doqdNJyKgI1oTYxdNf-zlXAriFwkjtg5_GqqwlLqzzFxf80sa_qE5Q==" TargetMode="External"/><Relationship Id="rId24" Type="http://schemas.openxmlformats.org/officeDocument/2006/relationships/hyperlink" Target="http://www.ne16.com/t/2729896/103094372/2855945/0/1003447/?f5d63f87=QVZNQSUyMEFkdm9jYXRlJTIwLSUyMEphbnVhcnklMjAyMDIx&amp;b44ed14b=YjMwMTBjNjAtM2FjNi00NjAzLThlZjMtNmU0OGQ0ZmFhY2M0&amp;x=774b6e92" TargetMode="External"/><Relationship Id="rId5" Type="http://schemas.openxmlformats.org/officeDocument/2006/relationships/image" Target="media/image1.gif"/><Relationship Id="rId15" Type="http://schemas.openxmlformats.org/officeDocument/2006/relationships/hyperlink" Target="http://r20.rs6.net/tn.jsp?f=001x9-IBu7sTS7xmlPKv25pkonOfCiU2O2S4rdIV-LOldu5Nv4d-CY0Rr_tAkszrGNN7c_Nfju7sq4bRD4N0mq4YHGsXCF384j0z9zYYjS5jPqKarF08-xyXQnQRK14ff0fmDGVglLURplvrKrOHitAAqcmXw7dCPWz01dmk5R8JpWowlNSu_H3stHQosm-4AFccmXGWapjO3oc1ZgKRb8aZet5-_Yi-neSkMCmbGHIKLUfdgarnEx82dP8CdwDXV6OvdkJ376HegYHAuOZbOPS-hg1NotFiJujRLNIEMr42Ci932Q4RSxvjFOtyoEIZS4DuZZGNnqkZPw1_748YzQuwg3l_Sz9XMTh9aZFyQotAtYwtqeaN8F8MLYZjHTYO06V70cHOLJC7zs5McjlkyrP_47Dp58U_62gopb_EQoiciQpipzaoftnqyKtTftXI1WCL0Zp5RYCqMGf6pWYtEBxfweacwRaSEehauQR8SMOWkK3Gg5D3BYjDnIUbagtYY-mp7avkL3zkW4GYySfvInaJQ5TeIGaXJj7AFcaicynW9I57v0mb2hyoctArg1K7JY6LkFFcjCVHSG9bbfUo0-YDTbZ7Dkiejd6Kxg3Tc7BruIkYBe1w0jrWPsJW2adshczeXE1EP2RGw3t_zG9amEpTDcHx5S5jFR3FiqRpanEplomB9ppVth1Z0912YdyOt6WiLmaG3xB5naQAr1HGXYLQMf6Td_wt58-asJZ1wYHaWgjkaILXE4m1C9KmS_VJwFhKBKS7fqGEpBLFT2kQnR8PIsvycslyp-rFijgEAhjE0h_bv8oqqUGyVWUP_Zl5Q1FKzEEn-b01SXY4t9IZ5ADPvBbZ-Rl_GsZb43QIcp0AhoDnHZBR2gThcYGXDVH8ERsnpkiafW57RSM0P99-uPC4Q==&amp;c=N-jgNgUXC5FnkhmYo6hwjYTFhl0v3JZYUO6N8qurc3gZjUbhDKnxEw==&amp;ch=doqdNJyKgI1oTYxdNf-zlXAriFwkjtg5_GqqwlLqzzFxf80sa_qE5Q==" TargetMode="External"/><Relationship Id="rId23" Type="http://schemas.openxmlformats.org/officeDocument/2006/relationships/hyperlink" Target="http://www.ne16.com/t/2729896/103094372/2855944/0/1003447/?f5d63f87=QVZNQSUyMEFkdm9jYXRlJTIwLSUyMEphbnVhcnklMjAyMDIx&amp;b44ed14b=YjMwMTBjNjAtM2FjNi00NjAzLThlZjMtNmU0OGQ0ZmFhY2M0&amp;x=8fee810a" TargetMode="External"/><Relationship Id="rId28" Type="http://schemas.openxmlformats.org/officeDocument/2006/relationships/theme" Target="theme/theme1.xml"/><Relationship Id="rId10" Type="http://schemas.openxmlformats.org/officeDocument/2006/relationships/hyperlink" Target="http://r20.rs6.net/tn.jsp?f=001x9-IBu7sTS7xmlPKv25pkonOfCiU2O2S4rdIV-LOldu5Nv4d-CY0Rr_tAkszrGNNgbsP5NaweM0ehRBv-PCT1e9D2_jDw8S0Dp26NPUkVddMapCUimrpoSPc0mRt9j-YKXSH2AE0TBp1NC20e0y0g7dEChu3YzwHqP-ON-SWodm73mhzztNgm7O0ojVIAxrvkiSlOYWh9Y3QrzHwowZlMMBZlOxUnBuOTdJB9Uas0zu1FozKJ02gueq7VgSj3ayU3JWDPE_S-Wwtgok9CwOuKJEuZt0oZ2O6Ytz7SePN1k_8U-Q0Va-taKvn6y0TVwViCUND22dEa4t14qD2e4XyKxG2jabWaihBcib4oZm3XD_hhHlDIPO8rkHSLS9j2t1umVDJXkXUdtGgWNZNLhiwo2e0aYAlFpNWqXzqpH8O6UmEaTSsXU07DQpwwnomOXT2pfgxOajKF1wgsDiv3U-RJuVNGvzHOeKOd08nzpwmD8VaWawr8MXNIYiPajQRkAdw3BxCq8vYKHD59Mzvglly0nwC8FebaTzZjEKpFUEi68UBnqMLUXwQeybnx9JbtU-cYf-t8Dmi4QzJIej89jWJRayaF7y1MyWIwXsr29VTaD-dex7ro78C1moIW70l-OUUfU-Qu3n1cFQra5mmaAlghCm-2Tjb4_kWxeg2n50FJ7mJsZnM--iVe3gQjpgqpVyMIi-E33Gz7X4jqwd2CGBQDr6OXbbkDZR7I28S_JNmXiFvwLCqjhuTyRXVNKonOp2-oi8afEepKUE2LFIMDON4p3weoJb4uQ3PzMrccqRWwe1kztEkX9-ipPn0K8l9_bNI2PjJlozht3Ep8A57JLDNwHBZcnpr286TlwwIrzHtA5WaN0y8RD60xC5v2tdgQJgYC_rYwRzg5PF7JqFubtZ4QA==&amp;c=N-jgNgUXC5FnkhmYo6hwjYTFhl0v3JZYUO6N8qurc3gZjUbhDKnxEw==&amp;ch=doqdNJyKgI1oTYxdNf-zlXAriFwkjtg5_GqqwlLqzzFxf80sa_qE5Q==" TargetMode="External"/><Relationship Id="rId19" Type="http://schemas.openxmlformats.org/officeDocument/2006/relationships/hyperlink" Target="http://www.ne16.com/t/2729896/103094372/2855942/0/1003447/?f5d63f87=QVZNQSUyMEFkdm9jYXRlJTIwLSUyMEphbnVhcnklMjAyMDIx&amp;b44ed14b=YjMwMTBjNjAtM2FjNi00NjAzLThlZjMtNmU0OGQ0ZmFhY2M0&amp;x=14ef91b4" TargetMode="External"/><Relationship Id="rId4" Type="http://schemas.openxmlformats.org/officeDocument/2006/relationships/webSettings" Target="webSettings.xml"/><Relationship Id="rId9" Type="http://schemas.openxmlformats.org/officeDocument/2006/relationships/hyperlink" Target="http://r20.rs6.net/tn.jsp?f=001x9-IBu7sTS7xmlPKv25pkonOfCiU2O2S4rdIV-LOldu5Nv4d-CY0Rr_tAkszrGNNa5dQpUzffZt2fJiQGnEU5DxFxgcJNGcDIULny0rHfloQYBcvEMScC8nCT7J8cN3YABp0x0gXwfXaapMcddyfWrPY2mGu5DcXnjRhyzi-_a0TmcLidGvJUgAH1RGHwuJiQG4WGdzq7-I3GbzQ0zVUogYBZC5wsjZAC-R1ZOK3v2Ev_hpNGb019KZTcIetjGm9i0xmRJ4i66dY1nA0LB-capJLXS4yClCfuRSNGqa1e8vfQYccvTrh4LoZfHQwPtzNbOK96lgIKUXsHIVVCbof0VjkMn6Q9RJk_4t8ymbdEkVPO8aqiGerbo-qKKnQN47rAJhSEK0og6drJhP2um8j3fHenPxjJ0TKIbWYaq3S5dtqHlrPaXJXJpixPcPESOM-XaClJzrAqcD1NsfA7o2ftJrzMaoWDbcvASbZ6UPstXdf3f8-csTW7fr9elq5WODycAnKwgSgQDKmvM7pmYJs75iZtZganl9llCv0MmIlnjJjXceyK95wUm7NrLtbUwt35O_cQIOfdIOxGdtsNftjxzErUpi0r9XFb4yMgqpuUmArrCQ2Sw3uHJDYWId-5T-Yg0xUCTF-_Ri-apwGthlnWgFK6ySJ-sxOkTXIcpqGWgyBrCYyxHk_QLJ6N1JI_9MqO2jhfUJYcr_DnrbTvFrQr46Q45p_C7C99Jq0Y7gkye805y-Um9hWQgN6bryTVLw2PlrcGZGoZYwU9e3fMmqGwz2hxLWf_O-lF2LOOZUmjMHNaWQRl0euBy9ApORFwYbAKycwpbbhqIBjHoOZlN62XdjnVs0ufmgxtbpud8IGUe58vRED3m6kbNvL1ffSwhOcVdkpUWRHpZ-U5sgmCL6TDDAe41cm2DdD&amp;c=N-jgNgUXC5FnkhmYo6hwjYTFhl0v3JZYUO6N8qurc3gZjUbhDKnxEw==&amp;ch=doqdNJyKgI1oTYxdNf-zlXAriFwkjtg5_GqqwlLqzzFxf80sa_qE5Q==" TargetMode="External"/><Relationship Id="rId14" Type="http://schemas.openxmlformats.org/officeDocument/2006/relationships/hyperlink" Target="http://r20.rs6.net/tn.jsp?f=001x9-IBu7sTS7xmlPKv25pkonOfCiU2O2S4rdIV-LOldu5Nv4d-CY0Rr_tAkszrGNNYtx7AR7N0TdeHN6OqerjmyqsKfi3GFHnucAJzxgvQP9sMrAcQVAlo-adF7Y2C7WxW1b3O6ob5491y9qRtJPg51k-73xXqTaGgA_5vD1bMvoYOsVOpDvkpnOmsjm_s34Ch5YhoJu8GgMTp-ZenQa7rb59XC2bUjxIkGdpmKaNY4Ng28lWYW15HBYzj-LrZDbyY4-b13EIZrNNIety7YAmgC4FDxl9-7WF_TyXN_FgMFaQm7LWs5x3lN_MCbFopd3H-RobjSehsMWpHq8VsKvl-6kxSGcUX1g0QwHnzIixGwVU2imQ-A_IigvzX2tXGVv0wJbW34-OaM9dCvUZIo3dZ7fNXg4c58cDo4VrtolGe_ZRiU3QvuCH_RWru5rPEpW4AxDnHeQJ65nDk67o1Wp0ZO9fTzA1ATS_qU_uJxysHOn4oOI1KlA-TbWXYEm3Jjp7MjzaettktCA5CamVDfFjafQQfSdNIemJc9J7DrcZBhB6t9G-2yC7gzmAl8ENbETy5J8NA7rsl427vFV9QJBe-m9GFI63qcSaYZaADM7D6MPqy3jYwSVk2v2kWu7PUlqdPq1zSFmZlVa2X7s21cCTGxWrT-2o57Jq4RjuRGt5gbQcbdAzKR_cBqoFz22rloKgAkUc3WW1Xunw6F8Mtf9Sv1Z6sjKSIykj4miYyVKyI81csDin5JGFPO3LCUj7r5F9SjoJkFSl341ax9WKGCa2sHKEmVeNUCXafKmLHF10HCfod7VCDaRwcmdSNOOcocxy24hKglhYzG0NEyAZI0kFtVxqGY5wEcmSyrPqmH9zXXj89D7kAYwfdrbEOWRHOFiw_0jS2wzdW5d5TYswyvCye0Z-vBepG8A5&amp;c=N-jgNgUXC5FnkhmYo6hwjYTFhl0v3JZYUO6N8qurc3gZjUbhDKnxEw==&amp;ch=doqdNJyKgI1oTYxdNf-zlXAriFwkjtg5_GqqwlLqzzFxf80sa_qE5Q==" TargetMode="External"/><Relationship Id="rId22" Type="http://schemas.openxmlformats.org/officeDocument/2006/relationships/hyperlink" Target="http://www.ne16.com/t/2729896/103094372/2856452/0/1003447/?f5d63f87=QVZNQSUyMEFkdm9jYXRlJTIwLSUyMEphbnVhcnklMjAyMDIx&amp;b44ed14b=YjMwMTBjNjAtM2FjNi00NjAzLThlZjMtNmU0OGQ0ZmFhY2M0&amp;x=e8fa544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2989</Words>
  <Characters>16888</Characters>
  <Application>Microsoft Office Word</Application>
  <DocSecurity>0</DocSecurity>
  <Lines>359</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Blevins</dc:creator>
  <cp:keywords/>
  <dc:description/>
  <cp:lastModifiedBy>Susan Blevins</cp:lastModifiedBy>
  <cp:revision>2</cp:revision>
  <dcterms:created xsi:type="dcterms:W3CDTF">2021-01-29T17:02:00Z</dcterms:created>
  <dcterms:modified xsi:type="dcterms:W3CDTF">2021-01-29T17:02:00Z</dcterms:modified>
</cp:coreProperties>
</file>