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9E474" w14:textId="77777777" w:rsidR="00334985" w:rsidRPr="00B10252" w:rsidRDefault="00334985" w:rsidP="00334985">
      <w:pPr>
        <w:pStyle w:val="Title"/>
        <w:pBdr>
          <w:bottom w:val="single" w:sz="8" w:space="4" w:color="44546A" w:themeColor="text2"/>
        </w:pBdr>
        <w:tabs>
          <w:tab w:val="right" w:pos="9360"/>
        </w:tabs>
        <w:spacing w:after="120"/>
        <w:rPr>
          <w:rFonts w:asciiTheme="minorHAnsi" w:hAnsiTheme="minorHAnsi" w:cstheme="minorHAnsi"/>
          <w:b/>
          <w:color w:val="44546A" w:themeColor="text2"/>
          <w:sz w:val="60"/>
          <w:szCs w:val="60"/>
        </w:rPr>
      </w:pPr>
      <w:r w:rsidRPr="00B10252">
        <w:rPr>
          <w:rFonts w:asciiTheme="minorHAnsi" w:hAnsiTheme="minorHAnsi" w:cstheme="minorHAnsi"/>
          <w:b/>
          <w:color w:val="44546A" w:themeColor="text2"/>
          <w:sz w:val="60"/>
          <w:szCs w:val="60"/>
        </w:rPr>
        <w:t>201</w:t>
      </w:r>
      <w:r>
        <w:rPr>
          <w:rFonts w:asciiTheme="minorHAnsi" w:hAnsiTheme="minorHAnsi" w:cstheme="minorHAnsi"/>
          <w:b/>
          <w:color w:val="44546A" w:themeColor="text2"/>
          <w:sz w:val="60"/>
          <w:szCs w:val="60"/>
        </w:rPr>
        <w:t>9</w:t>
      </w:r>
      <w:r w:rsidRPr="00B10252">
        <w:rPr>
          <w:rFonts w:asciiTheme="minorHAnsi" w:hAnsiTheme="minorHAnsi" w:cstheme="minorHAnsi"/>
          <w:b/>
          <w:color w:val="44546A" w:themeColor="text2"/>
          <w:sz w:val="60"/>
          <w:szCs w:val="60"/>
        </w:rPr>
        <w:t xml:space="preserve"> Legislative Session</w:t>
      </w:r>
    </w:p>
    <w:p w14:paraId="334E00C5" w14:textId="77777777" w:rsidR="00334985" w:rsidRPr="00B10252" w:rsidRDefault="00334985" w:rsidP="00334985">
      <w:pPr>
        <w:tabs>
          <w:tab w:val="right" w:pos="9360"/>
        </w:tabs>
        <w:rPr>
          <w:rFonts w:asciiTheme="minorHAnsi" w:hAnsiTheme="minorHAnsi" w:cstheme="minorHAnsi"/>
          <w:color w:val="44546A" w:themeColor="text2"/>
        </w:rPr>
      </w:pPr>
      <w:r>
        <w:rPr>
          <w:rFonts w:asciiTheme="minorHAnsi" w:hAnsiTheme="minorHAnsi" w:cstheme="minorHAnsi"/>
          <w:color w:val="44546A" w:themeColor="text2"/>
        </w:rPr>
        <w:t>Legislative Days 5-7</w:t>
      </w:r>
      <w:r w:rsidRPr="00B10252">
        <w:rPr>
          <w:rFonts w:asciiTheme="minorHAnsi" w:hAnsiTheme="minorHAnsi" w:cstheme="minorHAnsi"/>
          <w:color w:val="44546A" w:themeColor="text2"/>
        </w:rPr>
        <w:tab/>
      </w:r>
      <w:r>
        <w:rPr>
          <w:rFonts w:asciiTheme="minorHAnsi" w:hAnsiTheme="minorHAnsi" w:cstheme="minorHAnsi"/>
          <w:color w:val="44546A" w:themeColor="text2"/>
        </w:rPr>
        <w:t>February 1, 2019</w:t>
      </w:r>
    </w:p>
    <w:p w14:paraId="52806792" w14:textId="77777777" w:rsidR="00334985" w:rsidRPr="00B10252" w:rsidRDefault="00334985" w:rsidP="00334985">
      <w:pPr>
        <w:tabs>
          <w:tab w:val="right" w:pos="9360"/>
        </w:tabs>
        <w:rPr>
          <w:rFonts w:asciiTheme="minorHAnsi" w:hAnsiTheme="minorHAnsi" w:cstheme="minorHAnsi"/>
        </w:rPr>
      </w:pPr>
    </w:p>
    <w:p w14:paraId="23123C5C" w14:textId="77777777" w:rsidR="00334985" w:rsidRPr="00B10252" w:rsidRDefault="00334985" w:rsidP="00334985">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A Start-and-Stop Beginning</w:t>
      </w:r>
    </w:p>
    <w:p w14:paraId="0DA2539E" w14:textId="2A355145" w:rsidR="00334985" w:rsidRDefault="00334985" w:rsidP="00334985">
      <w:pPr>
        <w:tabs>
          <w:tab w:val="right" w:pos="9360"/>
        </w:tabs>
        <w:rPr>
          <w:rFonts w:asciiTheme="minorHAnsi" w:hAnsiTheme="minorHAnsi" w:cstheme="minorHAnsi"/>
        </w:rPr>
      </w:pPr>
      <w:r>
        <w:rPr>
          <w:rFonts w:asciiTheme="minorHAnsi" w:hAnsiTheme="minorHAnsi" w:cstheme="minorHAnsi"/>
        </w:rPr>
        <w:t>The 2019 session is off to an erratic start.  After meeting four days in</w:t>
      </w:r>
      <w:r w:rsidR="00382983">
        <w:rPr>
          <w:rFonts w:asciiTheme="minorHAnsi" w:hAnsiTheme="minorHAnsi" w:cstheme="minorHAnsi"/>
        </w:rPr>
        <w:t xml:space="preserve"> mid-</w:t>
      </w:r>
      <w:r>
        <w:rPr>
          <w:rFonts w:asciiTheme="minorHAnsi" w:hAnsiTheme="minorHAnsi" w:cstheme="minorHAnsi"/>
        </w:rPr>
        <w:t>January, the General Assembly used the week of the MLK Holiday to review Governor Brian Kemp’s budget recommendations and hear directly from agency heads regarding funding requests.</w:t>
      </w:r>
    </w:p>
    <w:p w14:paraId="276E7EBC" w14:textId="77777777" w:rsidR="00334985" w:rsidRPr="005F5D05" w:rsidRDefault="00334985" w:rsidP="00334985">
      <w:pPr>
        <w:tabs>
          <w:tab w:val="right" w:pos="9360"/>
        </w:tabs>
        <w:rPr>
          <w:rFonts w:asciiTheme="minorHAnsi" w:hAnsiTheme="minorHAnsi" w:cstheme="minorHAnsi"/>
          <w:sz w:val="16"/>
          <w:szCs w:val="16"/>
        </w:rPr>
      </w:pPr>
    </w:p>
    <w:p w14:paraId="5500BDD3" w14:textId="77777777" w:rsidR="00334985" w:rsidRDefault="00334985" w:rsidP="00334985">
      <w:pPr>
        <w:tabs>
          <w:tab w:val="right" w:pos="9360"/>
        </w:tabs>
        <w:rPr>
          <w:rFonts w:asciiTheme="minorHAnsi" w:hAnsiTheme="minorHAnsi" w:cstheme="minorHAnsi"/>
        </w:rPr>
      </w:pPr>
      <w:r>
        <w:rPr>
          <w:rFonts w:asciiTheme="minorHAnsi" w:hAnsiTheme="minorHAnsi" w:cstheme="minorHAnsi"/>
        </w:rPr>
        <w:t>The House and Senate were scheduled to meet Monday through Wednesday this week but the threat of winter weather suspended state business on Tuesday.  As a result, the Senate gaveled in for the day but completed no other business; the House met to assign bills to committees but took little other action.  They had already planned to be out through next Tuesday to avoid the chaos of Sunday’s Super Bowl.</w:t>
      </w:r>
    </w:p>
    <w:p w14:paraId="187F2517" w14:textId="77777777" w:rsidR="00334985" w:rsidRPr="005F5D05" w:rsidRDefault="00334985" w:rsidP="00334985">
      <w:pPr>
        <w:tabs>
          <w:tab w:val="right" w:pos="9360"/>
        </w:tabs>
        <w:rPr>
          <w:rFonts w:asciiTheme="minorHAnsi" w:hAnsiTheme="minorHAnsi" w:cstheme="minorHAnsi"/>
          <w:sz w:val="16"/>
          <w:szCs w:val="16"/>
        </w:rPr>
      </w:pPr>
    </w:p>
    <w:p w14:paraId="60BEAA3C" w14:textId="77777777" w:rsidR="00334985" w:rsidRDefault="00334985" w:rsidP="00334985">
      <w:pPr>
        <w:tabs>
          <w:tab w:val="right" w:pos="9360"/>
        </w:tabs>
        <w:rPr>
          <w:rFonts w:asciiTheme="minorHAnsi" w:hAnsiTheme="minorHAnsi" w:cstheme="minorHAnsi"/>
        </w:rPr>
      </w:pPr>
      <w:r>
        <w:rPr>
          <w:rFonts w:asciiTheme="minorHAnsi" w:hAnsiTheme="minorHAnsi" w:cstheme="minorHAnsi"/>
        </w:rPr>
        <w:t>Activity is expected to ramp up considerably next week.  They’ll reconvene on Tuesday and meet for the remainder of the week, finally giving committees time to dive into legislation.  Leadership is also expected to announce another legislative schedule covering the duration of the session.</w:t>
      </w:r>
      <w:bookmarkStart w:id="0" w:name="_GoBack"/>
      <w:bookmarkEnd w:id="0"/>
    </w:p>
    <w:p w14:paraId="0D95B98F" w14:textId="77777777" w:rsidR="00334985" w:rsidRPr="005F5D05" w:rsidRDefault="00334985" w:rsidP="00334985">
      <w:pPr>
        <w:tabs>
          <w:tab w:val="right" w:pos="9360"/>
        </w:tabs>
        <w:rPr>
          <w:rFonts w:asciiTheme="minorHAnsi" w:hAnsiTheme="minorHAnsi" w:cstheme="minorHAnsi"/>
          <w:sz w:val="18"/>
        </w:rPr>
      </w:pPr>
    </w:p>
    <w:p w14:paraId="43284865" w14:textId="0B241DE8" w:rsidR="009E6839" w:rsidRDefault="003F6203" w:rsidP="0064788C">
      <w:pPr>
        <w:pStyle w:val="Heading2"/>
        <w:tabs>
          <w:tab w:val="right" w:pos="9360"/>
        </w:tabs>
        <w:rPr>
          <w:rFonts w:asciiTheme="minorHAnsi" w:hAnsiTheme="minorHAnsi" w:cstheme="minorHAnsi"/>
          <w:b/>
          <w:sz w:val="32"/>
          <w:szCs w:val="32"/>
        </w:rPr>
      </w:pPr>
      <w:r>
        <w:rPr>
          <w:noProof/>
        </w:rPr>
        <w:drawing>
          <wp:anchor distT="0" distB="0" distL="114300" distR="114300" simplePos="0" relativeHeight="251658240" behindDoc="1" locked="0" layoutInCell="1" allowOverlap="1" wp14:anchorId="3C8D0794" wp14:editId="271CB43F">
            <wp:simplePos x="0" y="0"/>
            <wp:positionH relativeFrom="column">
              <wp:posOffset>4914417</wp:posOffset>
            </wp:positionH>
            <wp:positionV relativeFrom="paragraph">
              <wp:posOffset>118694</wp:posOffset>
            </wp:positionV>
            <wp:extent cx="1053465" cy="1550670"/>
            <wp:effectExtent l="38100" t="38100" r="51435" b="68580"/>
            <wp:wrapTight wrapText="bothSides">
              <wp:wrapPolygon edited="0">
                <wp:start x="-781" y="-531"/>
                <wp:lineTo x="-391" y="22290"/>
                <wp:lineTo x="22264" y="22290"/>
                <wp:lineTo x="22264" y="-531"/>
                <wp:lineTo x="-781" y="-531"/>
              </wp:wrapPolygon>
            </wp:wrapTight>
            <wp:docPr id="1" name="Picture 1" descr="Picture Not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Not F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550670"/>
                    </a:xfrm>
                    <a:prstGeom prst="rect">
                      <a:avLst/>
                    </a:prstGeom>
                    <a:noFill/>
                    <a:ln>
                      <a:noFill/>
                    </a:ln>
                    <a:effectLst>
                      <a:outerShdw blurRad="50800" dist="38100" dir="2700000" algn="tl" rotWithShape="0">
                        <a:prstClr val="black">
                          <a:alpha val="40000"/>
                        </a:prstClr>
                      </a:outerShdw>
                      <a:softEdge rad="31750"/>
                    </a:effectLst>
                  </pic:spPr>
                </pic:pic>
              </a:graphicData>
            </a:graphic>
            <wp14:sizeRelH relativeFrom="page">
              <wp14:pctWidth>0</wp14:pctWidth>
            </wp14:sizeRelH>
            <wp14:sizeRelV relativeFrom="page">
              <wp14:pctHeight>0</wp14:pctHeight>
            </wp14:sizeRelV>
          </wp:anchor>
        </w:drawing>
      </w:r>
      <w:r w:rsidR="00822B96">
        <w:rPr>
          <w:rFonts w:asciiTheme="minorHAnsi" w:hAnsiTheme="minorHAnsi" w:cstheme="minorHAnsi"/>
          <w:b/>
          <w:sz w:val="32"/>
          <w:szCs w:val="32"/>
        </w:rPr>
        <w:t>Committee Membership Update</w:t>
      </w:r>
    </w:p>
    <w:p w14:paraId="356A5510" w14:textId="353187D7" w:rsidR="00822B96" w:rsidRDefault="00225C50"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House Committee assignments were still pending when the last legislative report was distributed.  The Agriculture and Consumer Affairs Committee remains under the steady leadership </w:t>
      </w:r>
      <w:r w:rsidR="00E17F48">
        <w:rPr>
          <w:rStyle w:val="Hyperlink"/>
          <w:rFonts w:asciiTheme="minorHAnsi" w:hAnsiTheme="minorHAnsi" w:cstheme="minorHAnsi"/>
          <w:u w:val="none"/>
        </w:rPr>
        <w:t>of</w:t>
      </w:r>
      <w:r>
        <w:rPr>
          <w:rStyle w:val="Hyperlink"/>
          <w:rFonts w:asciiTheme="minorHAnsi" w:hAnsiTheme="minorHAnsi" w:cstheme="minorHAnsi"/>
          <w:u w:val="none"/>
        </w:rPr>
        <w:t xml:space="preserve"> </w:t>
      </w:r>
      <w:r w:rsidRPr="003F6203">
        <w:rPr>
          <w:rStyle w:val="Hyperlink"/>
          <w:rFonts w:asciiTheme="minorHAnsi" w:hAnsiTheme="minorHAnsi" w:cstheme="minorHAnsi"/>
          <w:b/>
          <w:u w:val="none"/>
        </w:rPr>
        <w:t>Tom McCall</w:t>
      </w:r>
      <w:r>
        <w:rPr>
          <w:rStyle w:val="Hyperlink"/>
          <w:rFonts w:asciiTheme="minorHAnsi" w:hAnsiTheme="minorHAnsi" w:cstheme="minorHAnsi"/>
          <w:u w:val="none"/>
        </w:rPr>
        <w:t xml:space="preserve"> (R-Elberton).  McCall is a grain and livestock farmer; he h</w:t>
      </w:r>
      <w:r w:rsidR="0064788C">
        <w:rPr>
          <w:rStyle w:val="Hyperlink"/>
          <w:rFonts w:asciiTheme="minorHAnsi" w:hAnsiTheme="minorHAnsi" w:cstheme="minorHAnsi"/>
          <w:u w:val="none"/>
        </w:rPr>
        <w:t>olds</w:t>
      </w:r>
      <w:r>
        <w:rPr>
          <w:rStyle w:val="Hyperlink"/>
          <w:rFonts w:asciiTheme="minorHAnsi" w:hAnsiTheme="minorHAnsi" w:cstheme="minorHAnsi"/>
          <w:u w:val="none"/>
        </w:rPr>
        <w:t xml:space="preserve"> a Bachelor’s degree in Agronomy with a focus in Animal Science from the University of Georgia.  He has served in the legislature since 1994.</w:t>
      </w:r>
    </w:p>
    <w:p w14:paraId="37AAC233" w14:textId="4F40F8B1" w:rsidR="00225C50" w:rsidRPr="005F5D05" w:rsidRDefault="00225C50" w:rsidP="0064788C">
      <w:pPr>
        <w:tabs>
          <w:tab w:val="right" w:pos="9360"/>
        </w:tabs>
        <w:rPr>
          <w:rStyle w:val="Hyperlink"/>
          <w:rFonts w:asciiTheme="minorHAnsi" w:hAnsiTheme="minorHAnsi" w:cstheme="minorHAnsi"/>
          <w:sz w:val="16"/>
          <w:szCs w:val="16"/>
          <w:u w:val="none"/>
        </w:rPr>
      </w:pPr>
    </w:p>
    <w:p w14:paraId="247B8D16" w14:textId="0A9185B5" w:rsidR="00225C50" w:rsidRDefault="0064788C" w:rsidP="0064788C">
      <w:pPr>
        <w:tabs>
          <w:tab w:val="right" w:pos="9360"/>
        </w:tabs>
        <w:rPr>
          <w:rStyle w:val="Hyperlink"/>
          <w:rFonts w:asciiTheme="minorHAnsi" w:hAnsiTheme="minorHAnsi" w:cstheme="minorHAnsi"/>
          <w:u w:val="none"/>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2F8CC77" wp14:editId="56635359">
                <wp:simplePos x="0" y="0"/>
                <wp:positionH relativeFrom="column">
                  <wp:posOffset>4937125</wp:posOffset>
                </wp:positionH>
                <wp:positionV relativeFrom="paragraph">
                  <wp:posOffset>-635</wp:posOffset>
                </wp:positionV>
                <wp:extent cx="1020445"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2044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3650E" w14:textId="04E88F74" w:rsidR="003F6203" w:rsidRPr="003F6203" w:rsidRDefault="003F6203" w:rsidP="003F6203">
                            <w:pPr>
                              <w:jc w:val="center"/>
                              <w:rPr>
                                <w:rFonts w:asciiTheme="minorHAnsi" w:hAnsiTheme="minorHAnsi" w:cstheme="minorHAnsi"/>
                                <w:i/>
                                <w:sz w:val="20"/>
                              </w:rPr>
                            </w:pPr>
                            <w:r>
                              <w:rPr>
                                <w:rFonts w:asciiTheme="minorHAnsi" w:hAnsiTheme="minorHAnsi" w:cstheme="minorHAnsi"/>
                                <w:i/>
                                <w:sz w:val="20"/>
                              </w:rPr>
                              <w:t>Tom McCall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F8CC77" id="_x0000_t202" coordsize="21600,21600" o:spt="202" path="m,l,21600r21600,l21600,xe">
                <v:stroke joinstyle="miter"/>
                <v:path gradientshapeok="t" o:connecttype="rect"/>
              </v:shapetype>
              <v:shape id="Text Box 8" o:spid="_x0000_s1026" type="#_x0000_t202" style="position:absolute;margin-left:388.75pt;margin-top:-.05pt;width:80.3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" filled="f" stroked="f" strokeweight=".5pt">
                <v:textbox>
                  <w:txbxContent>
                    <w:p w14:paraId="14C3650E" w14:textId="04E88F74" w:rsidR="003F6203" w:rsidRPr="003F6203" w:rsidRDefault="003F6203" w:rsidP="003F6203">
                      <w:pPr>
                        <w:jc w:val="center"/>
                        <w:rPr>
                          <w:rFonts w:asciiTheme="minorHAnsi" w:hAnsiTheme="minorHAnsi" w:cstheme="minorHAnsi"/>
                          <w:i/>
                          <w:sz w:val="20"/>
                        </w:rPr>
                      </w:pPr>
                      <w:r>
                        <w:rPr>
                          <w:rFonts w:asciiTheme="minorHAnsi" w:hAnsiTheme="minorHAnsi" w:cstheme="minorHAnsi"/>
                          <w:i/>
                          <w:sz w:val="20"/>
                        </w:rPr>
                        <w:t>Tom McCall</w:t>
                      </w:r>
                    </w:p>
                  </w:txbxContent>
                </v:textbox>
              </v:shape>
            </w:pict>
          </mc:Fallback>
        </mc:AlternateContent>
      </w:r>
      <w:r w:rsidR="00225C50">
        <w:rPr>
          <w:rStyle w:val="Hyperlink"/>
          <w:rFonts w:asciiTheme="minorHAnsi" w:hAnsiTheme="minorHAnsi" w:cstheme="minorHAnsi"/>
          <w:u w:val="none"/>
        </w:rPr>
        <w:t>New committee members include:</w:t>
      </w:r>
    </w:p>
    <w:p w14:paraId="4E6A2DE3" w14:textId="0604DFCC" w:rsidR="003F6203" w:rsidRDefault="003F6203" w:rsidP="0064788C">
      <w:pPr>
        <w:pStyle w:val="ListParagraph"/>
        <w:numPr>
          <w:ilvl w:val="0"/>
          <w:numId w:val="19"/>
        </w:numPr>
        <w:tabs>
          <w:tab w:val="right" w:pos="9360"/>
        </w:tabs>
        <w:rPr>
          <w:rStyle w:val="Hyperlink"/>
          <w:rFonts w:asciiTheme="minorHAnsi" w:hAnsiTheme="minorHAnsi" w:cstheme="minorHAnsi"/>
          <w:u w:val="none"/>
        </w:rPr>
      </w:pPr>
      <w:r w:rsidRPr="005F5D05">
        <w:rPr>
          <w:rStyle w:val="Hyperlink"/>
          <w:rFonts w:asciiTheme="minorHAnsi" w:hAnsiTheme="minorHAnsi" w:cstheme="minorHAnsi"/>
          <w:b/>
          <w:u w:val="none"/>
        </w:rPr>
        <w:t>John Corbett</w:t>
      </w:r>
      <w:r>
        <w:rPr>
          <w:rStyle w:val="Hyperlink"/>
          <w:rFonts w:asciiTheme="minorHAnsi" w:hAnsiTheme="minorHAnsi" w:cstheme="minorHAnsi"/>
          <w:u w:val="none"/>
        </w:rPr>
        <w:t>, R-Lake Park (</w:t>
      </w:r>
      <w:r>
        <w:rPr>
          <w:rStyle w:val="Hyperlink"/>
          <w:rFonts w:asciiTheme="minorHAnsi" w:hAnsiTheme="minorHAnsi" w:cstheme="minorHAnsi"/>
          <w:u w:val="none"/>
        </w:rPr>
        <w:t xml:space="preserve">timber farmer, </w:t>
      </w:r>
      <w:r>
        <w:rPr>
          <w:rStyle w:val="Hyperlink"/>
          <w:rFonts w:asciiTheme="minorHAnsi" w:hAnsiTheme="minorHAnsi" w:cstheme="minorHAnsi"/>
          <w:u w:val="none"/>
        </w:rPr>
        <w:t>currently in his third term)</w:t>
      </w:r>
      <w:r w:rsidR="0064788C">
        <w:rPr>
          <w:rStyle w:val="Hyperlink"/>
          <w:rFonts w:asciiTheme="minorHAnsi" w:hAnsiTheme="minorHAnsi" w:cstheme="minorHAnsi"/>
          <w:u w:val="none"/>
        </w:rPr>
        <w:t>,</w:t>
      </w:r>
    </w:p>
    <w:p w14:paraId="2B12B09D" w14:textId="040A4764" w:rsidR="00225C50" w:rsidRDefault="00225C50" w:rsidP="0064788C">
      <w:pPr>
        <w:pStyle w:val="ListParagraph"/>
        <w:numPr>
          <w:ilvl w:val="0"/>
          <w:numId w:val="19"/>
        </w:numPr>
        <w:tabs>
          <w:tab w:val="right" w:pos="9360"/>
        </w:tabs>
        <w:rPr>
          <w:rStyle w:val="Hyperlink"/>
          <w:rFonts w:asciiTheme="minorHAnsi" w:hAnsiTheme="minorHAnsi" w:cstheme="minorHAnsi"/>
          <w:u w:val="none"/>
        </w:rPr>
      </w:pPr>
      <w:r w:rsidRPr="005F5D05">
        <w:rPr>
          <w:rStyle w:val="Hyperlink"/>
          <w:rFonts w:asciiTheme="minorHAnsi" w:hAnsiTheme="minorHAnsi" w:cstheme="minorHAnsi"/>
          <w:b/>
          <w:u w:val="none"/>
        </w:rPr>
        <w:t>Don Hogan</w:t>
      </w:r>
      <w:r>
        <w:rPr>
          <w:rStyle w:val="Hyperlink"/>
          <w:rFonts w:asciiTheme="minorHAnsi" w:hAnsiTheme="minorHAnsi" w:cstheme="minorHAnsi"/>
          <w:u w:val="none"/>
        </w:rPr>
        <w:t>, R-St. Simon’s Island (</w:t>
      </w:r>
      <w:r w:rsidR="003F6203">
        <w:rPr>
          <w:rStyle w:val="Hyperlink"/>
          <w:rFonts w:asciiTheme="minorHAnsi" w:hAnsiTheme="minorHAnsi" w:cstheme="minorHAnsi"/>
          <w:u w:val="none"/>
        </w:rPr>
        <w:t xml:space="preserve">retired, </w:t>
      </w:r>
      <w:r>
        <w:rPr>
          <w:rStyle w:val="Hyperlink"/>
          <w:rFonts w:asciiTheme="minorHAnsi" w:hAnsiTheme="minorHAnsi" w:cstheme="minorHAnsi"/>
          <w:u w:val="none"/>
        </w:rPr>
        <w:t>currently in his second term)</w:t>
      </w:r>
      <w:r w:rsidR="0064788C">
        <w:rPr>
          <w:rStyle w:val="Hyperlink"/>
          <w:rFonts w:asciiTheme="minorHAnsi" w:hAnsiTheme="minorHAnsi" w:cstheme="minorHAnsi"/>
          <w:u w:val="none"/>
        </w:rPr>
        <w:t>,</w:t>
      </w:r>
    </w:p>
    <w:p w14:paraId="26F0E522" w14:textId="1961763C" w:rsidR="00225C50" w:rsidRDefault="00225C50" w:rsidP="0064788C">
      <w:pPr>
        <w:pStyle w:val="ListParagraph"/>
        <w:numPr>
          <w:ilvl w:val="0"/>
          <w:numId w:val="19"/>
        </w:numPr>
        <w:tabs>
          <w:tab w:val="right" w:pos="9360"/>
        </w:tabs>
        <w:rPr>
          <w:rStyle w:val="Hyperlink"/>
          <w:rFonts w:asciiTheme="minorHAnsi" w:hAnsiTheme="minorHAnsi" w:cstheme="minorHAnsi"/>
          <w:u w:val="none"/>
        </w:rPr>
      </w:pPr>
      <w:r w:rsidRPr="005F5D05">
        <w:rPr>
          <w:rStyle w:val="Hyperlink"/>
          <w:rFonts w:asciiTheme="minorHAnsi" w:hAnsiTheme="minorHAnsi" w:cstheme="minorHAnsi"/>
          <w:b/>
          <w:u w:val="none"/>
        </w:rPr>
        <w:t>Danny Mathis</w:t>
      </w:r>
      <w:r w:rsidRPr="00225C50">
        <w:rPr>
          <w:rStyle w:val="Hyperlink"/>
          <w:rFonts w:asciiTheme="minorHAnsi" w:hAnsiTheme="minorHAnsi" w:cstheme="minorHAnsi"/>
          <w:u w:val="none"/>
        </w:rPr>
        <w:t xml:space="preserve">, </w:t>
      </w:r>
      <w:r>
        <w:rPr>
          <w:rStyle w:val="Hyperlink"/>
          <w:rFonts w:asciiTheme="minorHAnsi" w:hAnsiTheme="minorHAnsi" w:cstheme="minorHAnsi"/>
          <w:u w:val="none"/>
        </w:rPr>
        <w:t>R-Cochran (funeral home operator</w:t>
      </w:r>
      <w:r w:rsidR="003F6203">
        <w:rPr>
          <w:rStyle w:val="Hyperlink"/>
          <w:rFonts w:asciiTheme="minorHAnsi" w:hAnsiTheme="minorHAnsi" w:cstheme="minorHAnsi"/>
          <w:u w:val="none"/>
        </w:rPr>
        <w:t>,</w:t>
      </w:r>
      <w:r>
        <w:rPr>
          <w:rStyle w:val="Hyperlink"/>
          <w:rFonts w:asciiTheme="minorHAnsi" w:hAnsiTheme="minorHAnsi" w:cstheme="minorHAnsi"/>
          <w:u w:val="none"/>
        </w:rPr>
        <w:t xml:space="preserve"> currently in his first term)</w:t>
      </w:r>
      <w:r w:rsidR="0064788C">
        <w:rPr>
          <w:rStyle w:val="Hyperlink"/>
          <w:rFonts w:asciiTheme="minorHAnsi" w:hAnsiTheme="minorHAnsi" w:cstheme="minorHAnsi"/>
          <w:u w:val="none"/>
        </w:rPr>
        <w:t>,</w:t>
      </w:r>
    </w:p>
    <w:p w14:paraId="6DD75D0D" w14:textId="4B01AA65" w:rsidR="00225C50" w:rsidRDefault="00225C50" w:rsidP="0064788C">
      <w:pPr>
        <w:pStyle w:val="ListParagraph"/>
        <w:numPr>
          <w:ilvl w:val="0"/>
          <w:numId w:val="19"/>
        </w:numPr>
        <w:tabs>
          <w:tab w:val="right" w:pos="9360"/>
        </w:tabs>
        <w:rPr>
          <w:rStyle w:val="Hyperlink"/>
          <w:rFonts w:asciiTheme="minorHAnsi" w:hAnsiTheme="minorHAnsi" w:cstheme="minorHAnsi"/>
          <w:u w:val="none"/>
        </w:rPr>
      </w:pPr>
      <w:r w:rsidRPr="005F5D05">
        <w:rPr>
          <w:rStyle w:val="Hyperlink"/>
          <w:rFonts w:asciiTheme="minorHAnsi" w:hAnsiTheme="minorHAnsi" w:cstheme="minorHAnsi"/>
          <w:b/>
          <w:u w:val="none"/>
        </w:rPr>
        <w:t>Steven Meeks</w:t>
      </w:r>
      <w:r>
        <w:rPr>
          <w:rStyle w:val="Hyperlink"/>
          <w:rFonts w:asciiTheme="minorHAnsi" w:hAnsiTheme="minorHAnsi" w:cstheme="minorHAnsi"/>
          <w:u w:val="none"/>
        </w:rPr>
        <w:t>, R-Screven (</w:t>
      </w:r>
      <w:r w:rsidR="003F6203">
        <w:rPr>
          <w:rStyle w:val="Hyperlink"/>
          <w:rFonts w:asciiTheme="minorHAnsi" w:hAnsiTheme="minorHAnsi" w:cstheme="minorHAnsi"/>
          <w:u w:val="none"/>
        </w:rPr>
        <w:t>farmer, currently in his first term)</w:t>
      </w:r>
      <w:r w:rsidR="0064788C">
        <w:rPr>
          <w:rStyle w:val="Hyperlink"/>
          <w:rFonts w:asciiTheme="minorHAnsi" w:hAnsiTheme="minorHAnsi" w:cstheme="minorHAnsi"/>
          <w:u w:val="none"/>
        </w:rPr>
        <w:t>,</w:t>
      </w:r>
    </w:p>
    <w:p w14:paraId="5C06E669" w14:textId="19F2D34A" w:rsidR="003F6203" w:rsidRDefault="00225C50" w:rsidP="0064788C">
      <w:pPr>
        <w:pStyle w:val="ListParagraph"/>
        <w:numPr>
          <w:ilvl w:val="0"/>
          <w:numId w:val="19"/>
        </w:numPr>
        <w:tabs>
          <w:tab w:val="right" w:pos="9360"/>
        </w:tabs>
        <w:rPr>
          <w:rStyle w:val="Hyperlink"/>
          <w:rFonts w:asciiTheme="minorHAnsi" w:hAnsiTheme="minorHAnsi" w:cstheme="minorHAnsi"/>
          <w:u w:val="none"/>
        </w:rPr>
      </w:pPr>
      <w:r w:rsidRPr="005F5D05">
        <w:rPr>
          <w:rStyle w:val="Hyperlink"/>
          <w:rFonts w:asciiTheme="minorHAnsi" w:hAnsiTheme="minorHAnsi" w:cstheme="minorHAnsi"/>
          <w:b/>
          <w:u w:val="none"/>
        </w:rPr>
        <w:t>Ken Pullin</w:t>
      </w:r>
      <w:r w:rsidR="003F6203">
        <w:rPr>
          <w:rStyle w:val="Hyperlink"/>
          <w:rFonts w:asciiTheme="minorHAnsi" w:hAnsiTheme="minorHAnsi" w:cstheme="minorHAnsi"/>
          <w:u w:val="none"/>
        </w:rPr>
        <w:t>, R-Zebulon (financial technology, currently in his first term)</w:t>
      </w:r>
      <w:r w:rsidR="0064788C">
        <w:rPr>
          <w:rStyle w:val="Hyperlink"/>
          <w:rFonts w:asciiTheme="minorHAnsi" w:hAnsiTheme="minorHAnsi" w:cstheme="minorHAnsi"/>
          <w:u w:val="none"/>
        </w:rPr>
        <w:t>, and</w:t>
      </w:r>
    </w:p>
    <w:p w14:paraId="5256A137" w14:textId="6E360C6A" w:rsidR="003F6203" w:rsidRPr="005F5D05" w:rsidRDefault="003F6203" w:rsidP="0064788C">
      <w:pPr>
        <w:pStyle w:val="ListParagraph"/>
        <w:numPr>
          <w:ilvl w:val="0"/>
          <w:numId w:val="19"/>
        </w:numPr>
        <w:tabs>
          <w:tab w:val="right" w:pos="9360"/>
        </w:tabs>
        <w:rPr>
          <w:rStyle w:val="Hyperlink"/>
          <w:rFonts w:asciiTheme="minorHAnsi" w:hAnsiTheme="minorHAnsi" w:cstheme="minorHAnsi"/>
          <w:u w:val="none"/>
        </w:rPr>
      </w:pPr>
      <w:r w:rsidRPr="005F5D05">
        <w:rPr>
          <w:rStyle w:val="Hyperlink"/>
          <w:rFonts w:asciiTheme="minorHAnsi" w:hAnsiTheme="minorHAnsi" w:cstheme="minorHAnsi"/>
          <w:b/>
          <w:u w:val="none"/>
        </w:rPr>
        <w:t>Matthew Wilson</w:t>
      </w:r>
      <w:r w:rsidRPr="005F5D05">
        <w:rPr>
          <w:rStyle w:val="Hyperlink"/>
          <w:rFonts w:asciiTheme="minorHAnsi" w:hAnsiTheme="minorHAnsi" w:cstheme="minorHAnsi"/>
          <w:u w:val="none"/>
        </w:rPr>
        <w:t>, D-Brookhaven (attorney, currently in his first term)</w:t>
      </w:r>
      <w:r w:rsidR="0064788C" w:rsidRPr="005F5D05">
        <w:rPr>
          <w:rStyle w:val="Hyperlink"/>
          <w:rFonts w:asciiTheme="minorHAnsi" w:hAnsiTheme="minorHAnsi" w:cstheme="minorHAnsi"/>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9"/>
        <w:gridCol w:w="1529"/>
        <w:gridCol w:w="1529"/>
        <w:gridCol w:w="1529"/>
        <w:gridCol w:w="1529"/>
        <w:gridCol w:w="1705"/>
      </w:tblGrid>
      <w:tr w:rsidR="003F6203" w14:paraId="73200EE9" w14:textId="77777777" w:rsidTr="003F6203">
        <w:tc>
          <w:tcPr>
            <w:tcW w:w="1529" w:type="dxa"/>
            <w:vAlign w:val="center"/>
          </w:tcPr>
          <w:p w14:paraId="54AA1AB0" w14:textId="21FAC4BF" w:rsidR="003F6203" w:rsidRDefault="003F6203" w:rsidP="0064788C">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center"/>
              <w:rPr>
                <w:rStyle w:val="Hyperlink"/>
                <w:rFonts w:asciiTheme="minorHAnsi" w:hAnsiTheme="minorHAnsi" w:cstheme="minorHAnsi"/>
                <w:u w:val="none"/>
              </w:rPr>
            </w:pPr>
            <w:r>
              <w:rPr>
                <w:noProof/>
              </w:rPr>
              <w:drawing>
                <wp:inline distT="0" distB="0" distL="0" distR="0" wp14:anchorId="2C5AA788" wp14:editId="4530C41C">
                  <wp:extent cx="822960" cy="1211373"/>
                  <wp:effectExtent l="38100" t="38100" r="53340" b="84455"/>
                  <wp:docPr id="7" name="Picture 7" descr="Picture Not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Not F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211373"/>
                          </a:xfrm>
                          <a:prstGeom prst="rect">
                            <a:avLst/>
                          </a:prstGeom>
                          <a:noFill/>
                          <a:ln>
                            <a:noFill/>
                          </a:ln>
                          <a:effectLst>
                            <a:outerShdw blurRad="50800" dist="38100" dir="2700000" algn="tl" rotWithShape="0">
                              <a:prstClr val="black">
                                <a:alpha val="40000"/>
                              </a:prstClr>
                            </a:outerShdw>
                            <a:softEdge rad="31750"/>
                          </a:effectLst>
                        </pic:spPr>
                      </pic:pic>
                    </a:graphicData>
                  </a:graphic>
                </wp:inline>
              </w:drawing>
            </w:r>
          </w:p>
        </w:tc>
        <w:tc>
          <w:tcPr>
            <w:tcW w:w="1529" w:type="dxa"/>
            <w:vAlign w:val="center"/>
          </w:tcPr>
          <w:p w14:paraId="1CCEA808" w14:textId="50C0495C" w:rsidR="003F6203" w:rsidRDefault="003F6203" w:rsidP="0064788C">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center"/>
              <w:rPr>
                <w:rStyle w:val="Hyperlink"/>
                <w:rFonts w:asciiTheme="minorHAnsi" w:hAnsiTheme="minorHAnsi" w:cstheme="minorHAnsi"/>
                <w:u w:val="none"/>
              </w:rPr>
            </w:pPr>
            <w:r>
              <w:rPr>
                <w:noProof/>
              </w:rPr>
              <w:drawing>
                <wp:inline distT="0" distB="0" distL="0" distR="0" wp14:anchorId="7BCB3DFD" wp14:editId="018981A2">
                  <wp:extent cx="822960" cy="1211373"/>
                  <wp:effectExtent l="38100" t="38100" r="53340" b="84455"/>
                  <wp:docPr id="6" name="Picture 6" descr="Picture Not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Not F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211373"/>
                          </a:xfrm>
                          <a:prstGeom prst="rect">
                            <a:avLst/>
                          </a:prstGeom>
                          <a:noFill/>
                          <a:ln>
                            <a:noFill/>
                          </a:ln>
                          <a:effectLst>
                            <a:outerShdw blurRad="50800" dist="38100" dir="2700000" algn="tl" rotWithShape="0">
                              <a:prstClr val="black">
                                <a:alpha val="40000"/>
                              </a:prstClr>
                            </a:outerShdw>
                            <a:softEdge rad="31750"/>
                          </a:effectLst>
                        </pic:spPr>
                      </pic:pic>
                    </a:graphicData>
                  </a:graphic>
                </wp:inline>
              </w:drawing>
            </w:r>
          </w:p>
        </w:tc>
        <w:tc>
          <w:tcPr>
            <w:tcW w:w="1529" w:type="dxa"/>
            <w:vAlign w:val="center"/>
          </w:tcPr>
          <w:p w14:paraId="3F11096E" w14:textId="2F213B19" w:rsidR="003F6203" w:rsidRDefault="003F6203" w:rsidP="0064788C">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center"/>
              <w:rPr>
                <w:rStyle w:val="Hyperlink"/>
                <w:rFonts w:asciiTheme="minorHAnsi" w:hAnsiTheme="minorHAnsi" w:cstheme="minorHAnsi"/>
                <w:u w:val="none"/>
              </w:rPr>
            </w:pPr>
            <w:r>
              <w:rPr>
                <w:noProof/>
              </w:rPr>
              <w:drawing>
                <wp:inline distT="0" distB="0" distL="0" distR="0" wp14:anchorId="28E50C0B" wp14:editId="0D87894F">
                  <wp:extent cx="822960" cy="1245601"/>
                  <wp:effectExtent l="38100" t="38100" r="53340" b="69215"/>
                  <wp:docPr id="2" name="Picture 2" descr="Picture Not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Not F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1245601"/>
                          </a:xfrm>
                          <a:prstGeom prst="rect">
                            <a:avLst/>
                          </a:prstGeom>
                          <a:noFill/>
                          <a:ln>
                            <a:noFill/>
                          </a:ln>
                          <a:effectLst>
                            <a:outerShdw blurRad="50800" dist="38100" dir="2700000" algn="tl" rotWithShape="0">
                              <a:prstClr val="black">
                                <a:alpha val="40000"/>
                              </a:prstClr>
                            </a:outerShdw>
                            <a:softEdge rad="31750"/>
                          </a:effectLst>
                        </pic:spPr>
                      </pic:pic>
                    </a:graphicData>
                  </a:graphic>
                </wp:inline>
              </w:drawing>
            </w:r>
          </w:p>
        </w:tc>
        <w:tc>
          <w:tcPr>
            <w:tcW w:w="1529" w:type="dxa"/>
            <w:vAlign w:val="center"/>
          </w:tcPr>
          <w:p w14:paraId="0BA3A897" w14:textId="5D40AE0B" w:rsidR="003F6203" w:rsidRDefault="003F6203" w:rsidP="0064788C">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center"/>
              <w:rPr>
                <w:rStyle w:val="Hyperlink"/>
                <w:rFonts w:asciiTheme="minorHAnsi" w:hAnsiTheme="minorHAnsi" w:cstheme="minorHAnsi"/>
                <w:u w:val="none"/>
              </w:rPr>
            </w:pPr>
            <w:r>
              <w:rPr>
                <w:noProof/>
              </w:rPr>
              <w:drawing>
                <wp:inline distT="0" distB="0" distL="0" distR="0" wp14:anchorId="1561D4C9" wp14:editId="2E9757C2">
                  <wp:extent cx="822960" cy="1245601"/>
                  <wp:effectExtent l="38100" t="38100" r="53340" b="69215"/>
                  <wp:docPr id="3" name="Picture 3" descr="Picture Not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Not F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1245601"/>
                          </a:xfrm>
                          <a:prstGeom prst="rect">
                            <a:avLst/>
                          </a:prstGeom>
                          <a:noFill/>
                          <a:ln>
                            <a:noFill/>
                          </a:ln>
                          <a:effectLst>
                            <a:outerShdw blurRad="50800" dist="38100" dir="2700000" algn="tl" rotWithShape="0">
                              <a:prstClr val="black">
                                <a:alpha val="40000"/>
                              </a:prstClr>
                            </a:outerShdw>
                            <a:softEdge rad="31750"/>
                          </a:effectLst>
                        </pic:spPr>
                      </pic:pic>
                    </a:graphicData>
                  </a:graphic>
                </wp:inline>
              </w:drawing>
            </w:r>
          </w:p>
        </w:tc>
        <w:tc>
          <w:tcPr>
            <w:tcW w:w="1529" w:type="dxa"/>
            <w:vAlign w:val="center"/>
          </w:tcPr>
          <w:p w14:paraId="2087645A" w14:textId="62D9D56C" w:rsidR="003F6203" w:rsidRDefault="003F6203" w:rsidP="0064788C">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center"/>
              <w:rPr>
                <w:rStyle w:val="Hyperlink"/>
                <w:rFonts w:asciiTheme="minorHAnsi" w:hAnsiTheme="minorHAnsi" w:cstheme="minorHAnsi"/>
                <w:u w:val="none"/>
              </w:rPr>
            </w:pPr>
            <w:r>
              <w:rPr>
                <w:noProof/>
              </w:rPr>
              <w:drawing>
                <wp:inline distT="0" distB="0" distL="0" distR="0" wp14:anchorId="59DD7CBB" wp14:editId="1E40B94C">
                  <wp:extent cx="822960" cy="1245601"/>
                  <wp:effectExtent l="38100" t="38100" r="53340" b="69215"/>
                  <wp:docPr id="4" name="Picture 4" descr="Picture Not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Not Fou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1245601"/>
                          </a:xfrm>
                          <a:prstGeom prst="rect">
                            <a:avLst/>
                          </a:prstGeom>
                          <a:noFill/>
                          <a:ln>
                            <a:noFill/>
                          </a:ln>
                          <a:effectLst>
                            <a:outerShdw blurRad="50800" dist="38100" dir="2700000" algn="tl" rotWithShape="0">
                              <a:prstClr val="black">
                                <a:alpha val="40000"/>
                              </a:prstClr>
                            </a:outerShdw>
                            <a:softEdge rad="31750"/>
                          </a:effectLst>
                        </pic:spPr>
                      </pic:pic>
                    </a:graphicData>
                  </a:graphic>
                </wp:inline>
              </w:drawing>
            </w:r>
          </w:p>
        </w:tc>
        <w:tc>
          <w:tcPr>
            <w:tcW w:w="1705" w:type="dxa"/>
            <w:vAlign w:val="center"/>
          </w:tcPr>
          <w:p w14:paraId="05218CB7" w14:textId="7D72B16D" w:rsidR="003F6203" w:rsidRDefault="003F6203" w:rsidP="0064788C">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center"/>
              <w:rPr>
                <w:rStyle w:val="Hyperlink"/>
                <w:rFonts w:asciiTheme="minorHAnsi" w:hAnsiTheme="minorHAnsi" w:cstheme="minorHAnsi"/>
                <w:u w:val="none"/>
              </w:rPr>
            </w:pPr>
            <w:r>
              <w:rPr>
                <w:noProof/>
              </w:rPr>
              <w:drawing>
                <wp:inline distT="0" distB="0" distL="0" distR="0" wp14:anchorId="340DA81F" wp14:editId="053C1E35">
                  <wp:extent cx="822960" cy="1245601"/>
                  <wp:effectExtent l="38100" t="38100" r="53340" b="69215"/>
                  <wp:docPr id="5" name="Picture 5" descr="Picture Not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Not Fou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1245601"/>
                          </a:xfrm>
                          <a:prstGeom prst="rect">
                            <a:avLst/>
                          </a:prstGeom>
                          <a:noFill/>
                          <a:ln>
                            <a:noFill/>
                          </a:ln>
                          <a:effectLst>
                            <a:outerShdw blurRad="50800" dist="38100" dir="2700000" algn="tl" rotWithShape="0">
                              <a:prstClr val="black">
                                <a:alpha val="40000"/>
                              </a:prstClr>
                            </a:outerShdw>
                            <a:softEdge rad="31750"/>
                          </a:effectLst>
                        </pic:spPr>
                      </pic:pic>
                    </a:graphicData>
                  </a:graphic>
                </wp:inline>
              </w:drawing>
            </w:r>
          </w:p>
        </w:tc>
      </w:tr>
      <w:tr w:rsidR="003F6203" w:rsidRPr="003F6203" w14:paraId="46FB05D8" w14:textId="77777777" w:rsidTr="003F6203">
        <w:tc>
          <w:tcPr>
            <w:tcW w:w="1529" w:type="dxa"/>
            <w:vAlign w:val="center"/>
          </w:tcPr>
          <w:p w14:paraId="2FE8F6F5" w14:textId="01AECA09" w:rsidR="003F6203" w:rsidRPr="003F6203" w:rsidRDefault="003F6203" w:rsidP="0064788C">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center"/>
              <w:rPr>
                <w:rStyle w:val="Hyperlink"/>
                <w:rFonts w:asciiTheme="minorHAnsi" w:hAnsiTheme="minorHAnsi" w:cstheme="minorHAnsi"/>
                <w:i/>
                <w:sz w:val="20"/>
                <w:u w:val="none"/>
              </w:rPr>
            </w:pPr>
            <w:r>
              <w:rPr>
                <w:rStyle w:val="Hyperlink"/>
                <w:rFonts w:asciiTheme="minorHAnsi" w:hAnsiTheme="minorHAnsi" w:cstheme="minorHAnsi"/>
                <w:i/>
                <w:sz w:val="20"/>
                <w:u w:val="none"/>
              </w:rPr>
              <w:t>John Corbett</w:t>
            </w:r>
          </w:p>
        </w:tc>
        <w:tc>
          <w:tcPr>
            <w:tcW w:w="1529" w:type="dxa"/>
          </w:tcPr>
          <w:p w14:paraId="1756E7A7" w14:textId="19CBF728" w:rsidR="003F6203" w:rsidRPr="003F6203" w:rsidRDefault="003F6203" w:rsidP="0064788C">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center"/>
              <w:rPr>
                <w:rStyle w:val="Hyperlink"/>
                <w:rFonts w:asciiTheme="minorHAnsi" w:hAnsiTheme="minorHAnsi" w:cstheme="minorHAnsi"/>
                <w:i/>
                <w:sz w:val="20"/>
                <w:u w:val="none"/>
              </w:rPr>
            </w:pPr>
            <w:r>
              <w:rPr>
                <w:rStyle w:val="Hyperlink"/>
                <w:rFonts w:asciiTheme="minorHAnsi" w:hAnsiTheme="minorHAnsi" w:cstheme="minorHAnsi"/>
                <w:i/>
                <w:sz w:val="20"/>
                <w:u w:val="none"/>
              </w:rPr>
              <w:t>Don Hogan</w:t>
            </w:r>
          </w:p>
        </w:tc>
        <w:tc>
          <w:tcPr>
            <w:tcW w:w="1529" w:type="dxa"/>
          </w:tcPr>
          <w:p w14:paraId="7C01B28D" w14:textId="40D57B65" w:rsidR="003F6203" w:rsidRPr="003F6203" w:rsidRDefault="003F6203" w:rsidP="0064788C">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center"/>
              <w:rPr>
                <w:rStyle w:val="Hyperlink"/>
                <w:rFonts w:asciiTheme="minorHAnsi" w:hAnsiTheme="minorHAnsi" w:cstheme="minorHAnsi"/>
                <w:i/>
                <w:sz w:val="20"/>
                <w:u w:val="none"/>
              </w:rPr>
            </w:pPr>
            <w:r>
              <w:rPr>
                <w:rStyle w:val="Hyperlink"/>
                <w:rFonts w:asciiTheme="minorHAnsi" w:hAnsiTheme="minorHAnsi" w:cstheme="minorHAnsi"/>
                <w:i/>
                <w:sz w:val="20"/>
                <w:u w:val="none"/>
              </w:rPr>
              <w:t>Danny Mathis</w:t>
            </w:r>
          </w:p>
        </w:tc>
        <w:tc>
          <w:tcPr>
            <w:tcW w:w="1529" w:type="dxa"/>
          </w:tcPr>
          <w:p w14:paraId="682BD6F6" w14:textId="58EB9E91" w:rsidR="003F6203" w:rsidRPr="003F6203" w:rsidRDefault="003F6203" w:rsidP="0064788C">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center"/>
              <w:rPr>
                <w:rStyle w:val="Hyperlink"/>
                <w:rFonts w:asciiTheme="minorHAnsi" w:hAnsiTheme="minorHAnsi" w:cstheme="minorHAnsi"/>
                <w:i/>
                <w:sz w:val="20"/>
                <w:u w:val="none"/>
              </w:rPr>
            </w:pPr>
            <w:r>
              <w:rPr>
                <w:rStyle w:val="Hyperlink"/>
                <w:rFonts w:asciiTheme="minorHAnsi" w:hAnsiTheme="minorHAnsi" w:cstheme="minorHAnsi"/>
                <w:i/>
                <w:sz w:val="20"/>
                <w:u w:val="none"/>
              </w:rPr>
              <w:t>Steven Meeks</w:t>
            </w:r>
          </w:p>
        </w:tc>
        <w:tc>
          <w:tcPr>
            <w:tcW w:w="1529" w:type="dxa"/>
          </w:tcPr>
          <w:p w14:paraId="74E2926D" w14:textId="622F0873" w:rsidR="003F6203" w:rsidRPr="003F6203" w:rsidRDefault="003F6203" w:rsidP="0064788C">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center"/>
              <w:rPr>
                <w:rStyle w:val="Hyperlink"/>
                <w:rFonts w:asciiTheme="minorHAnsi" w:hAnsiTheme="minorHAnsi" w:cstheme="minorHAnsi"/>
                <w:i/>
                <w:sz w:val="20"/>
                <w:u w:val="none"/>
              </w:rPr>
            </w:pPr>
            <w:r>
              <w:rPr>
                <w:rStyle w:val="Hyperlink"/>
                <w:rFonts w:asciiTheme="minorHAnsi" w:hAnsiTheme="minorHAnsi" w:cstheme="minorHAnsi"/>
                <w:i/>
                <w:sz w:val="20"/>
                <w:u w:val="none"/>
              </w:rPr>
              <w:t>Ken Pullin</w:t>
            </w:r>
          </w:p>
        </w:tc>
        <w:tc>
          <w:tcPr>
            <w:tcW w:w="1705" w:type="dxa"/>
          </w:tcPr>
          <w:p w14:paraId="3318517D" w14:textId="374FA22E" w:rsidR="003F6203" w:rsidRPr="003F6203" w:rsidRDefault="003F6203" w:rsidP="0064788C">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center"/>
              <w:rPr>
                <w:rStyle w:val="Hyperlink"/>
                <w:rFonts w:asciiTheme="minorHAnsi" w:hAnsiTheme="minorHAnsi" w:cstheme="minorHAnsi"/>
                <w:i/>
                <w:sz w:val="20"/>
                <w:u w:val="none"/>
              </w:rPr>
            </w:pPr>
            <w:r>
              <w:rPr>
                <w:rStyle w:val="Hyperlink"/>
                <w:rFonts w:asciiTheme="minorHAnsi" w:hAnsiTheme="minorHAnsi" w:cstheme="minorHAnsi"/>
                <w:i/>
                <w:sz w:val="20"/>
                <w:u w:val="none"/>
              </w:rPr>
              <w:t>Matthew Wilson</w:t>
            </w:r>
          </w:p>
        </w:tc>
      </w:tr>
    </w:tbl>
    <w:p w14:paraId="0C92E4A9" w14:textId="77777777"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lastRenderedPageBreak/>
        <w:t>Veterinary Medicine Day at the Capitol</w:t>
      </w:r>
    </w:p>
    <w:p w14:paraId="289190A8" w14:textId="3E4828DF" w:rsidR="00E5195F" w:rsidRDefault="0064788C"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Wednesday, January 30 </w:t>
      </w:r>
      <w:r w:rsidR="00E5195F">
        <w:rPr>
          <w:rStyle w:val="Hyperlink"/>
          <w:rFonts w:asciiTheme="minorHAnsi" w:hAnsiTheme="minorHAnsi" w:cstheme="minorHAnsi"/>
          <w:u w:val="none"/>
        </w:rPr>
        <w:t>was</w:t>
      </w:r>
      <w:r>
        <w:rPr>
          <w:rStyle w:val="Hyperlink"/>
          <w:rFonts w:asciiTheme="minorHAnsi" w:hAnsiTheme="minorHAnsi" w:cstheme="minorHAnsi"/>
          <w:u w:val="none"/>
        </w:rPr>
        <w:t xml:space="preserve"> Veterinary Medicine Day.  </w:t>
      </w:r>
      <w:r w:rsidR="00E5195F">
        <w:rPr>
          <w:rStyle w:val="Hyperlink"/>
          <w:rFonts w:asciiTheme="minorHAnsi" w:hAnsiTheme="minorHAnsi" w:cstheme="minorHAnsi"/>
          <w:u w:val="none"/>
        </w:rPr>
        <w:t xml:space="preserve">About a dozen legislators joined the group for breakfast before hearing from Agriculture Commissioner </w:t>
      </w:r>
      <w:r w:rsidR="00E5195F" w:rsidRPr="005912F6">
        <w:rPr>
          <w:rStyle w:val="Hyperlink"/>
          <w:rFonts w:asciiTheme="minorHAnsi" w:hAnsiTheme="minorHAnsi" w:cstheme="minorHAnsi"/>
          <w:b/>
          <w:u w:val="none"/>
        </w:rPr>
        <w:t>Gary Black</w:t>
      </w:r>
      <w:r w:rsidR="00E5195F">
        <w:rPr>
          <w:rStyle w:val="Hyperlink"/>
          <w:rFonts w:asciiTheme="minorHAnsi" w:hAnsiTheme="minorHAnsi" w:cstheme="minorHAnsi"/>
          <w:u w:val="none"/>
        </w:rPr>
        <w:t xml:space="preserve"> and State Veterinarian Dr. </w:t>
      </w:r>
      <w:r w:rsidR="00E5195F" w:rsidRPr="005912F6">
        <w:rPr>
          <w:rStyle w:val="Hyperlink"/>
          <w:rFonts w:asciiTheme="minorHAnsi" w:hAnsiTheme="minorHAnsi" w:cstheme="minorHAnsi"/>
          <w:b/>
          <w:u w:val="none"/>
        </w:rPr>
        <w:t>Robert Cobb</w:t>
      </w:r>
      <w:r w:rsidR="00E5195F">
        <w:rPr>
          <w:rStyle w:val="Hyperlink"/>
          <w:rFonts w:asciiTheme="minorHAnsi" w:hAnsiTheme="minorHAnsi" w:cstheme="minorHAnsi"/>
          <w:u w:val="none"/>
        </w:rPr>
        <w:t xml:space="preserve">.  Veterinarians were also recognized in the Senate by Agriculture and Consumer Affairs Committee Chairman </w:t>
      </w:r>
      <w:r w:rsidR="00E5195F" w:rsidRPr="005912F6">
        <w:rPr>
          <w:rStyle w:val="Hyperlink"/>
          <w:rFonts w:asciiTheme="minorHAnsi" w:hAnsiTheme="minorHAnsi" w:cstheme="minorHAnsi"/>
          <w:b/>
          <w:u w:val="none"/>
        </w:rPr>
        <w:t>John Wilkinson</w:t>
      </w:r>
      <w:r w:rsidR="00E5195F">
        <w:rPr>
          <w:rStyle w:val="Hyperlink"/>
          <w:rFonts w:asciiTheme="minorHAnsi" w:hAnsiTheme="minorHAnsi" w:cstheme="minorHAnsi"/>
          <w:u w:val="none"/>
        </w:rPr>
        <w:t xml:space="preserve"> (R-Toccoa) and presented with a copy of </w:t>
      </w:r>
      <w:hyperlink r:id="rId15" w:history="1">
        <w:r w:rsidR="00E5195F" w:rsidRPr="00E5195F">
          <w:rPr>
            <w:rStyle w:val="Hyperlink"/>
            <w:rFonts w:asciiTheme="minorHAnsi" w:hAnsiTheme="minorHAnsi" w:cstheme="minorHAnsi"/>
            <w:b/>
          </w:rPr>
          <w:t>SR 22</w:t>
        </w:r>
      </w:hyperlink>
      <w:r w:rsidR="00E5195F">
        <w:rPr>
          <w:rStyle w:val="Hyperlink"/>
          <w:rFonts w:asciiTheme="minorHAnsi" w:hAnsiTheme="minorHAnsi" w:cstheme="minorHAnsi"/>
          <w:u w:val="none"/>
        </w:rPr>
        <w:t xml:space="preserve">, declaring it </w:t>
      </w:r>
      <w:r w:rsidR="00334985">
        <w:rPr>
          <w:rStyle w:val="Hyperlink"/>
          <w:rFonts w:asciiTheme="minorHAnsi" w:hAnsiTheme="minorHAnsi" w:cstheme="minorHAnsi"/>
          <w:u w:val="none"/>
        </w:rPr>
        <w:t xml:space="preserve">to be </w:t>
      </w:r>
      <w:r w:rsidR="00E5195F">
        <w:rPr>
          <w:rStyle w:val="Hyperlink"/>
          <w:rFonts w:asciiTheme="minorHAnsi" w:hAnsiTheme="minorHAnsi" w:cstheme="minorHAnsi"/>
          <w:u w:val="none"/>
        </w:rPr>
        <w:t>Veterinary Medicine Day at the state capitol.  Thanks to everyone who braved the chilly weather to join colleagues for a fun and informative day on the hill.</w:t>
      </w:r>
    </w:p>
    <w:p w14:paraId="5A85217E" w14:textId="371DE0AD" w:rsidR="00E5195F" w:rsidRDefault="00E5195F" w:rsidP="0064788C">
      <w:pPr>
        <w:tabs>
          <w:tab w:val="right" w:pos="9360"/>
        </w:tabs>
        <w:rPr>
          <w:rStyle w:val="Hyperlink"/>
          <w:rFonts w:asciiTheme="minorHAnsi" w:hAnsiTheme="minorHAnsi" w:cstheme="minorHAnsi"/>
          <w:u w:val="none"/>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225F9B6" wp14:editId="0D4DE353">
                <wp:simplePos x="0" y="0"/>
                <wp:positionH relativeFrom="column">
                  <wp:posOffset>36195</wp:posOffset>
                </wp:positionH>
                <wp:positionV relativeFrom="paragraph">
                  <wp:posOffset>3631666</wp:posOffset>
                </wp:positionV>
                <wp:extent cx="5906592" cy="281965"/>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5906592" cy="281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381CC" w14:textId="5AB9F618" w:rsidR="00E5195F" w:rsidRPr="00E5195F" w:rsidRDefault="00E5195F" w:rsidP="00E5195F">
                            <w:pPr>
                              <w:jc w:val="center"/>
                              <w:rPr>
                                <w:rFonts w:asciiTheme="minorHAnsi" w:hAnsiTheme="minorHAnsi" w:cstheme="minorHAnsi"/>
                                <w:i/>
                                <w:sz w:val="20"/>
                              </w:rPr>
                            </w:pPr>
                            <w:r>
                              <w:rPr>
                                <w:rFonts w:asciiTheme="minorHAnsi" w:hAnsiTheme="minorHAnsi" w:cstheme="minorHAnsi"/>
                                <w:i/>
                                <w:sz w:val="20"/>
                              </w:rPr>
                              <w:t>Members of the Association with Senators Ellis Black</w:t>
                            </w:r>
                            <w:r w:rsidR="00334985">
                              <w:rPr>
                                <w:rFonts w:asciiTheme="minorHAnsi" w:hAnsiTheme="minorHAnsi" w:cstheme="minorHAnsi"/>
                                <w:i/>
                                <w:sz w:val="20"/>
                              </w:rPr>
                              <w:t xml:space="preserve"> and</w:t>
                            </w:r>
                            <w:r>
                              <w:rPr>
                                <w:rFonts w:asciiTheme="minorHAnsi" w:hAnsiTheme="minorHAnsi" w:cstheme="minorHAnsi"/>
                                <w:i/>
                                <w:sz w:val="20"/>
                              </w:rPr>
                              <w:t xml:space="preserve"> John Wilkinson and Lt. Governor Geoff Duncan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5F9B6" id="Text Box 10" o:spid="_x0000_s1027" type="#_x0000_t202" style="position:absolute;margin-left:2.85pt;margin-top:285.95pt;width:465.1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" filled="f" stroked="f" strokeweight=".5pt">
                <v:textbox>
                  <w:txbxContent>
                    <w:p w14:paraId="242381CC" w14:textId="5AB9F618" w:rsidR="00E5195F" w:rsidRPr="00E5195F" w:rsidRDefault="00E5195F" w:rsidP="00E5195F">
                      <w:pPr>
                        <w:jc w:val="center"/>
                        <w:rPr>
                          <w:rFonts w:asciiTheme="minorHAnsi" w:hAnsiTheme="minorHAnsi" w:cstheme="minorHAnsi"/>
                          <w:i/>
                          <w:sz w:val="20"/>
                        </w:rPr>
                      </w:pPr>
                      <w:r>
                        <w:rPr>
                          <w:rFonts w:asciiTheme="minorHAnsi" w:hAnsiTheme="minorHAnsi" w:cstheme="minorHAnsi"/>
                          <w:i/>
                          <w:sz w:val="20"/>
                        </w:rPr>
                        <w:t>Members of the Association with Senators Ellis Black</w:t>
                      </w:r>
                      <w:r w:rsidR="00334985">
                        <w:rPr>
                          <w:rFonts w:asciiTheme="minorHAnsi" w:hAnsiTheme="minorHAnsi" w:cstheme="minorHAnsi"/>
                          <w:i/>
                          <w:sz w:val="20"/>
                        </w:rPr>
                        <w:t xml:space="preserve"> and</w:t>
                      </w:r>
                      <w:r>
                        <w:rPr>
                          <w:rFonts w:asciiTheme="minorHAnsi" w:hAnsiTheme="minorHAnsi" w:cstheme="minorHAnsi"/>
                          <w:i/>
                          <w:sz w:val="20"/>
                        </w:rPr>
                        <w:t xml:space="preserve"> John Wilkinson and Lt. Governor Geoff Duncan</w:t>
                      </w:r>
                    </w:p>
                  </w:txbxContent>
                </v:textbox>
              </v:shape>
            </w:pict>
          </mc:Fallback>
        </mc:AlternateContent>
      </w:r>
      <w:r>
        <w:rPr>
          <w:rFonts w:asciiTheme="minorHAnsi" w:hAnsiTheme="minorHAnsi" w:cstheme="minorHAnsi"/>
          <w:noProof/>
        </w:rPr>
        <w:drawing>
          <wp:inline distT="0" distB="0" distL="0" distR="0" wp14:anchorId="2B53C88E" wp14:editId="1C54EA5A">
            <wp:extent cx="5943444" cy="3591764"/>
            <wp:effectExtent l="38100" t="38100" r="57785" b="850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D4A7402-X3.jpg"/>
                    <pic:cNvPicPr/>
                  </pic:nvPicPr>
                  <pic:blipFill rotWithShape="1">
                    <a:blip r:embed="rId16">
                      <a:extLst>
                        <a:ext uri="{28A0092B-C50C-407E-A947-70E740481C1C}">
                          <a14:useLocalDpi xmlns:a14="http://schemas.microsoft.com/office/drawing/2010/main" val="0"/>
                        </a:ext>
                      </a:extLst>
                    </a:blip>
                    <a:srcRect t="3138" b="6243"/>
                    <a:stretch/>
                  </pic:blipFill>
                  <pic:spPr bwMode="auto">
                    <a:xfrm>
                      <a:off x="0" y="0"/>
                      <a:ext cx="5943600" cy="3591858"/>
                    </a:xfrm>
                    <a:prstGeom prst="rect">
                      <a:avLst/>
                    </a:prstGeom>
                    <a:ln>
                      <a:noFill/>
                    </a:ln>
                    <a:effectLst>
                      <a:outerShdw blurRad="50800" dist="38100" dir="2700000" algn="tl" rotWithShape="0">
                        <a:prstClr val="black">
                          <a:alpha val="40000"/>
                        </a:prstClr>
                      </a:outerShdw>
                      <a:softEdge rad="31750"/>
                    </a:effectLst>
                    <a:extLst>
                      <a:ext uri="{53640926-AAD7-44D8-BBD7-CCE9431645EC}">
                        <a14:shadowObscured xmlns:a14="http://schemas.microsoft.com/office/drawing/2010/main"/>
                      </a:ext>
                    </a:extLst>
                  </pic:spPr>
                </pic:pic>
              </a:graphicData>
            </a:graphic>
          </wp:inline>
        </w:drawing>
      </w:r>
    </w:p>
    <w:p w14:paraId="5D7126B6" w14:textId="17CD395A" w:rsidR="00E5195F" w:rsidRDefault="00E5195F" w:rsidP="0064788C">
      <w:pPr>
        <w:tabs>
          <w:tab w:val="right" w:pos="9360"/>
        </w:tabs>
        <w:rPr>
          <w:rStyle w:val="Hyperlink"/>
          <w:rFonts w:asciiTheme="minorHAnsi" w:hAnsiTheme="minorHAnsi" w:cstheme="minorHAnsi"/>
          <w:u w:val="none"/>
        </w:rPr>
      </w:pPr>
    </w:p>
    <w:p w14:paraId="4FE8B915" w14:textId="7630C404" w:rsidR="00E5195F" w:rsidRDefault="00E5195F" w:rsidP="0064788C">
      <w:pPr>
        <w:tabs>
          <w:tab w:val="right" w:pos="9360"/>
        </w:tabs>
        <w:rPr>
          <w:rStyle w:val="Hyperlink"/>
          <w:rFonts w:asciiTheme="minorHAnsi" w:hAnsiTheme="minorHAnsi" w:cstheme="minorHAnsi"/>
          <w:u w:val="none"/>
        </w:rPr>
      </w:pPr>
    </w:p>
    <w:p w14:paraId="6A3F9099" w14:textId="09AB98E3" w:rsidR="003D1894" w:rsidRDefault="003D1894"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Priorit</w:t>
      </w:r>
      <w:r w:rsidR="0064788C">
        <w:rPr>
          <w:rFonts w:asciiTheme="minorHAnsi" w:hAnsiTheme="minorHAnsi" w:cstheme="minorHAnsi"/>
          <w:b/>
          <w:sz w:val="32"/>
          <w:szCs w:val="32"/>
        </w:rPr>
        <w:t>y Issue</w:t>
      </w:r>
      <w:r w:rsidR="00382983">
        <w:rPr>
          <w:rFonts w:asciiTheme="minorHAnsi" w:hAnsiTheme="minorHAnsi" w:cstheme="minorHAnsi"/>
          <w:b/>
          <w:sz w:val="32"/>
          <w:szCs w:val="32"/>
        </w:rPr>
        <w:t>s</w:t>
      </w:r>
    </w:p>
    <w:p w14:paraId="19598A51" w14:textId="6FD237C9" w:rsidR="00822B96" w:rsidRDefault="00382983" w:rsidP="0064788C">
      <w:pPr>
        <w:tabs>
          <w:tab w:val="right" w:pos="9360"/>
        </w:tabs>
        <w:rPr>
          <w:rStyle w:val="Hyperlink"/>
          <w:rFonts w:asciiTheme="minorHAnsi" w:hAnsiTheme="minorHAnsi" w:cstheme="minorHAnsi"/>
          <w:u w:val="none"/>
        </w:rPr>
      </w:pPr>
      <w:r>
        <w:rPr>
          <w:rStyle w:val="Hyperlink"/>
          <w:rFonts w:asciiTheme="minorHAnsi" w:hAnsiTheme="minorHAnsi" w:cstheme="minorHAnsi"/>
          <w:b/>
          <w:u w:val="none"/>
        </w:rPr>
        <w:t xml:space="preserve">Practice Act.  </w:t>
      </w:r>
      <w:r w:rsidR="003D1894">
        <w:rPr>
          <w:rStyle w:val="Hyperlink"/>
          <w:rFonts w:asciiTheme="minorHAnsi" w:hAnsiTheme="minorHAnsi" w:cstheme="minorHAnsi"/>
          <w:u w:val="none"/>
        </w:rPr>
        <w:t xml:space="preserve">The profession is </w:t>
      </w:r>
      <w:r w:rsidR="00E5195F">
        <w:rPr>
          <w:rStyle w:val="Hyperlink"/>
          <w:rFonts w:asciiTheme="minorHAnsi" w:hAnsiTheme="minorHAnsi" w:cstheme="minorHAnsi"/>
          <w:u w:val="none"/>
        </w:rPr>
        <w:t xml:space="preserve">in the middle of </w:t>
      </w:r>
      <w:r w:rsidR="003D1894">
        <w:rPr>
          <w:rStyle w:val="Hyperlink"/>
          <w:rFonts w:asciiTheme="minorHAnsi" w:hAnsiTheme="minorHAnsi" w:cstheme="minorHAnsi"/>
          <w:u w:val="none"/>
        </w:rPr>
        <w:t>another proactive session</w:t>
      </w:r>
      <w:r w:rsidR="0064788C">
        <w:rPr>
          <w:rStyle w:val="Hyperlink"/>
          <w:rFonts w:asciiTheme="minorHAnsi" w:hAnsiTheme="minorHAnsi" w:cstheme="minorHAnsi"/>
          <w:u w:val="none"/>
        </w:rPr>
        <w:t xml:space="preserve"> and intends to introduce legislation to make a variety of clean-up changes to the Practice Act.  The Association is currently working with members of the Senate Agriculture and Consumer Affairs Committee to file legislation that will:</w:t>
      </w:r>
    </w:p>
    <w:p w14:paraId="571B3DE7" w14:textId="58E6B3D8" w:rsidR="003D1894" w:rsidRDefault="0064788C" w:rsidP="0064788C">
      <w:pPr>
        <w:pStyle w:val="ListParagraph"/>
        <w:numPr>
          <w:ilvl w:val="0"/>
          <w:numId w:val="18"/>
        </w:numPr>
        <w:tabs>
          <w:tab w:val="right" w:pos="9360"/>
        </w:tabs>
        <w:rPr>
          <w:rStyle w:val="Hyperlink"/>
          <w:rFonts w:asciiTheme="minorHAnsi" w:hAnsiTheme="minorHAnsi" w:cstheme="minorHAnsi"/>
          <w:u w:val="none"/>
        </w:rPr>
      </w:pPr>
      <w:r>
        <w:rPr>
          <w:rStyle w:val="Hyperlink"/>
          <w:rFonts w:asciiTheme="minorHAnsi" w:hAnsiTheme="minorHAnsi" w:cstheme="minorHAnsi"/>
          <w:u w:val="none"/>
        </w:rPr>
        <w:t>Add</w:t>
      </w:r>
      <w:r w:rsidR="003D1894">
        <w:rPr>
          <w:rStyle w:val="Hyperlink"/>
          <w:rFonts w:asciiTheme="minorHAnsi" w:hAnsiTheme="minorHAnsi" w:cstheme="minorHAnsi"/>
          <w:u w:val="none"/>
        </w:rPr>
        <w:t xml:space="preserve"> a veterinary technician to the state board.  This was inadvertently left out of the comprehensive practice act update from last year.</w:t>
      </w:r>
    </w:p>
    <w:p w14:paraId="7961311C" w14:textId="3E5B6264" w:rsidR="003D1894" w:rsidRDefault="003D1894" w:rsidP="0064788C">
      <w:pPr>
        <w:pStyle w:val="ListParagraph"/>
        <w:numPr>
          <w:ilvl w:val="0"/>
          <w:numId w:val="18"/>
        </w:numPr>
        <w:tabs>
          <w:tab w:val="right" w:pos="9360"/>
        </w:tabs>
        <w:rPr>
          <w:rStyle w:val="Hyperlink"/>
          <w:rFonts w:asciiTheme="minorHAnsi" w:hAnsiTheme="minorHAnsi" w:cstheme="minorHAnsi"/>
          <w:u w:val="none"/>
        </w:rPr>
      </w:pPr>
      <w:r>
        <w:rPr>
          <w:rStyle w:val="Hyperlink"/>
          <w:rFonts w:asciiTheme="minorHAnsi" w:hAnsiTheme="minorHAnsi" w:cstheme="minorHAnsi"/>
          <w:u w:val="none"/>
        </w:rPr>
        <w:t>Creat</w:t>
      </w:r>
      <w:r w:rsidR="0064788C">
        <w:rPr>
          <w:rStyle w:val="Hyperlink"/>
          <w:rFonts w:asciiTheme="minorHAnsi" w:hAnsiTheme="minorHAnsi" w:cstheme="minorHAnsi"/>
          <w:u w:val="none"/>
        </w:rPr>
        <w:t>e</w:t>
      </w:r>
      <w:r>
        <w:rPr>
          <w:rStyle w:val="Hyperlink"/>
          <w:rFonts w:asciiTheme="minorHAnsi" w:hAnsiTheme="minorHAnsi" w:cstheme="minorHAnsi"/>
          <w:u w:val="none"/>
        </w:rPr>
        <w:t xml:space="preserve"> a professional health program to aid in recovery efforts of impaired veterinarians.</w:t>
      </w:r>
    </w:p>
    <w:p w14:paraId="38F4C752" w14:textId="077DF4DE" w:rsidR="003D1894" w:rsidRDefault="003D1894" w:rsidP="0064788C">
      <w:pPr>
        <w:pStyle w:val="ListParagraph"/>
        <w:numPr>
          <w:ilvl w:val="0"/>
          <w:numId w:val="18"/>
        </w:numPr>
        <w:tabs>
          <w:tab w:val="right" w:pos="9360"/>
        </w:tabs>
        <w:rPr>
          <w:rStyle w:val="Hyperlink"/>
          <w:rFonts w:asciiTheme="minorHAnsi" w:hAnsiTheme="minorHAnsi" w:cstheme="minorHAnsi"/>
          <w:u w:val="none"/>
        </w:rPr>
      </w:pPr>
      <w:r>
        <w:rPr>
          <w:rStyle w:val="Hyperlink"/>
          <w:rFonts w:asciiTheme="minorHAnsi" w:hAnsiTheme="minorHAnsi" w:cstheme="minorHAnsi"/>
          <w:u w:val="none"/>
        </w:rPr>
        <w:t>Rebrand “veterinary technicians” as “veterinary nurses” to reflect their current role and responsibilities in patient care.</w:t>
      </w:r>
    </w:p>
    <w:p w14:paraId="0E85195B" w14:textId="77777777" w:rsidR="00382983" w:rsidRPr="00382983" w:rsidRDefault="00382983" w:rsidP="00382983">
      <w:pPr>
        <w:tabs>
          <w:tab w:val="right" w:pos="9360"/>
        </w:tabs>
        <w:rPr>
          <w:rStyle w:val="Hyperlink"/>
          <w:rFonts w:asciiTheme="minorHAnsi" w:hAnsiTheme="minorHAnsi" w:cstheme="minorHAnsi"/>
          <w:u w:val="none"/>
        </w:rPr>
      </w:pPr>
    </w:p>
    <w:p w14:paraId="0103EC19" w14:textId="58B214BE" w:rsidR="00382983" w:rsidRPr="00382983" w:rsidRDefault="00382983" w:rsidP="00382983">
      <w:pPr>
        <w:tabs>
          <w:tab w:val="right" w:pos="9360"/>
        </w:tabs>
        <w:rPr>
          <w:rStyle w:val="Hyperlink"/>
          <w:rFonts w:asciiTheme="minorHAnsi" w:hAnsiTheme="minorHAnsi" w:cstheme="minorHAnsi"/>
          <w:u w:val="none"/>
        </w:rPr>
      </w:pPr>
      <w:r w:rsidRPr="00382983">
        <w:rPr>
          <w:rStyle w:val="Hyperlink"/>
          <w:rFonts w:asciiTheme="minorHAnsi" w:hAnsiTheme="minorHAnsi" w:cstheme="minorHAnsi"/>
          <w:b/>
          <w:u w:val="none"/>
        </w:rPr>
        <w:t xml:space="preserve">Compounding.  </w:t>
      </w:r>
      <w:r w:rsidRPr="00382983">
        <w:rPr>
          <w:rStyle w:val="Hyperlink"/>
          <w:rFonts w:asciiTheme="minorHAnsi" w:hAnsiTheme="minorHAnsi" w:cstheme="minorHAnsi"/>
          <w:u w:val="none"/>
        </w:rPr>
        <w:t xml:space="preserve">The Association is actively working with the Georgia Board of Pharmacy and the Georgia Pharmacy Association to allow veterinarians to dispense non-controlled compounded </w:t>
      </w:r>
      <w:r w:rsidRPr="00382983">
        <w:rPr>
          <w:rStyle w:val="Hyperlink"/>
          <w:rFonts w:asciiTheme="minorHAnsi" w:hAnsiTheme="minorHAnsi" w:cstheme="minorHAnsi"/>
          <w:u w:val="none"/>
        </w:rPr>
        <w:lastRenderedPageBreak/>
        <w:t xml:space="preserve">drugs from a hospital supply in </w:t>
      </w:r>
      <w:r>
        <w:rPr>
          <w:rStyle w:val="Hyperlink"/>
          <w:rFonts w:asciiTheme="minorHAnsi" w:hAnsiTheme="minorHAnsi" w:cstheme="minorHAnsi"/>
          <w:u w:val="none"/>
        </w:rPr>
        <w:t>emergency care situations for a limited time</w:t>
      </w:r>
      <w:r w:rsidRPr="00382983">
        <w:rPr>
          <w:rStyle w:val="Hyperlink"/>
          <w:rFonts w:asciiTheme="minorHAnsi" w:hAnsiTheme="minorHAnsi" w:cstheme="minorHAnsi"/>
          <w:u w:val="none"/>
        </w:rPr>
        <w:t xml:space="preserve">.  The hope is that the Association can avoid legislation and make this </w:t>
      </w:r>
      <w:r>
        <w:rPr>
          <w:rStyle w:val="Hyperlink"/>
          <w:rFonts w:asciiTheme="minorHAnsi" w:hAnsiTheme="minorHAnsi" w:cstheme="minorHAnsi"/>
          <w:u w:val="none"/>
        </w:rPr>
        <w:t xml:space="preserve">permissible </w:t>
      </w:r>
      <w:r w:rsidRPr="00382983">
        <w:rPr>
          <w:rStyle w:val="Hyperlink"/>
          <w:rFonts w:asciiTheme="minorHAnsi" w:hAnsiTheme="minorHAnsi" w:cstheme="minorHAnsi"/>
          <w:u w:val="none"/>
        </w:rPr>
        <w:t>through Board rule changes.</w:t>
      </w:r>
    </w:p>
    <w:p w14:paraId="370C8E79" w14:textId="77777777" w:rsidR="00822B96" w:rsidRDefault="00822B96" w:rsidP="0064788C">
      <w:pPr>
        <w:tabs>
          <w:tab w:val="right" w:pos="9360"/>
        </w:tabs>
        <w:rPr>
          <w:rStyle w:val="Hyperlink"/>
          <w:rFonts w:asciiTheme="minorHAnsi" w:hAnsiTheme="minorHAnsi" w:cstheme="minorHAnsi"/>
          <w:u w:val="none"/>
        </w:rPr>
      </w:pPr>
    </w:p>
    <w:p w14:paraId="141F4C12" w14:textId="7CAFD8C0"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Professional Issues</w:t>
      </w:r>
    </w:p>
    <w:p w14:paraId="0FB5FB46" w14:textId="3E2D3FF9" w:rsidR="0064788C" w:rsidRDefault="00C90AB9" w:rsidP="0064788C">
      <w:pPr>
        <w:tabs>
          <w:tab w:val="right" w:pos="9360"/>
        </w:tabs>
        <w:rPr>
          <w:rStyle w:val="Hyperlink"/>
          <w:rFonts w:asciiTheme="minorHAnsi" w:hAnsiTheme="minorHAnsi" w:cstheme="minorHAnsi"/>
          <w:b/>
          <w:u w:val="none"/>
        </w:rPr>
      </w:pPr>
      <w:hyperlink r:id="rId17" w:history="1">
        <w:r w:rsidR="003C094E" w:rsidRPr="00C90AB9">
          <w:rPr>
            <w:rStyle w:val="Hyperlink"/>
            <w:rFonts w:asciiTheme="minorHAnsi" w:hAnsiTheme="minorHAnsi" w:cstheme="minorHAnsi"/>
            <w:b/>
          </w:rPr>
          <w:t>HB 112</w:t>
        </w:r>
      </w:hyperlink>
      <w:r w:rsidR="003C094E">
        <w:rPr>
          <w:rStyle w:val="Hyperlink"/>
          <w:rFonts w:asciiTheme="minorHAnsi" w:hAnsiTheme="minorHAnsi" w:cstheme="minorHAnsi"/>
          <w:b/>
          <w:u w:val="none"/>
        </w:rPr>
        <w:t>: Dextromethorphan</w:t>
      </w:r>
      <w:r w:rsidR="003C094E">
        <w:rPr>
          <w:rStyle w:val="Hyperlink"/>
          <w:rFonts w:asciiTheme="minorHAnsi" w:hAnsiTheme="minorHAnsi" w:cstheme="minorHAnsi"/>
          <w:b/>
          <w:u w:val="none"/>
        </w:rPr>
        <w:tab/>
        <w:t>Rep. John LaHood, R-Valdosta</w:t>
      </w:r>
    </w:p>
    <w:p w14:paraId="12E533F0" w14:textId="4C79F41D" w:rsidR="003C094E" w:rsidRDefault="00C90AB9" w:rsidP="0064788C">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Prefiled in the House on 1/30</w:t>
      </w:r>
    </w:p>
    <w:p w14:paraId="74B7DBD8" w14:textId="53F45989" w:rsidR="00C90AB9" w:rsidRDefault="00C90AB9"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HB 112 prohibits the sale to and by minors of all drugs containing dextromethorphan, commonly found in cough suppressants.  The prohibition would extend to veterinary applications.</w:t>
      </w:r>
    </w:p>
    <w:p w14:paraId="5B146DED" w14:textId="77777777" w:rsidR="00F57C20" w:rsidRDefault="00F57C20" w:rsidP="0064788C">
      <w:pPr>
        <w:tabs>
          <w:tab w:val="right" w:pos="9360"/>
        </w:tabs>
        <w:rPr>
          <w:rStyle w:val="Hyperlink"/>
          <w:rFonts w:asciiTheme="minorHAnsi" w:hAnsiTheme="minorHAnsi" w:cstheme="minorHAnsi"/>
          <w:b/>
          <w:u w:val="none"/>
        </w:rPr>
      </w:pPr>
    </w:p>
    <w:p w14:paraId="6600940C" w14:textId="37232970" w:rsidR="00E5195F" w:rsidRDefault="00904E23" w:rsidP="0064788C">
      <w:pPr>
        <w:tabs>
          <w:tab w:val="right" w:pos="9360"/>
        </w:tabs>
        <w:rPr>
          <w:rStyle w:val="Hyperlink"/>
          <w:rFonts w:asciiTheme="minorHAnsi" w:hAnsiTheme="minorHAnsi" w:cstheme="minorHAnsi"/>
          <w:u w:val="none"/>
        </w:rPr>
      </w:pPr>
      <w:r>
        <w:rPr>
          <w:rStyle w:val="Hyperlink"/>
          <w:rFonts w:asciiTheme="minorHAnsi" w:hAnsiTheme="minorHAnsi" w:cstheme="minorHAnsi"/>
          <w:b/>
          <w:u w:val="none"/>
        </w:rPr>
        <w:t xml:space="preserve">Industrial Hemp and CBD Oil.  </w:t>
      </w:r>
      <w:r w:rsidR="00E5195F">
        <w:rPr>
          <w:rStyle w:val="Hyperlink"/>
          <w:rFonts w:asciiTheme="minorHAnsi" w:hAnsiTheme="minorHAnsi" w:cstheme="minorHAnsi"/>
          <w:u w:val="none"/>
        </w:rPr>
        <w:t>As discussed during Veterinary Medicine Day at the State Capitol, in December Congress adopted the 2018 Farm Bill</w:t>
      </w:r>
      <w:r>
        <w:rPr>
          <w:rStyle w:val="Hyperlink"/>
          <w:rFonts w:asciiTheme="minorHAnsi" w:hAnsiTheme="minorHAnsi" w:cstheme="minorHAnsi"/>
          <w:u w:val="none"/>
        </w:rPr>
        <w:t xml:space="preserve"> and essentially legalized industrial hemp.  For decades, federal law has not differentiated hemp from other cannabis plants, all of which were made illegal in 1970.  According to the Farm Bill, “hemp” cannot contain more than 0.3% of THC, the component commonly associated with getting high.</w:t>
      </w:r>
    </w:p>
    <w:p w14:paraId="4F3612D2" w14:textId="77777777" w:rsidR="00904E23" w:rsidRDefault="00904E23" w:rsidP="0064788C">
      <w:pPr>
        <w:tabs>
          <w:tab w:val="right" w:pos="9360"/>
        </w:tabs>
        <w:rPr>
          <w:rStyle w:val="Hyperlink"/>
          <w:rFonts w:asciiTheme="minorHAnsi" w:hAnsiTheme="minorHAnsi" w:cstheme="minorHAnsi"/>
          <w:u w:val="none"/>
        </w:rPr>
      </w:pPr>
    </w:p>
    <w:p w14:paraId="687CDDED" w14:textId="08C156A8" w:rsidR="00904E23" w:rsidRPr="00C90AB9" w:rsidRDefault="00904E23"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While only the federal government had the authority to declassify industrial hemp, Georgia lawmakers have also been working on the issue.  Sen. Matt Brass, R-Newnan, co-chaired a study committee on Low THC Medical Oil Access.  After careful study and input from the public, the group recommends lawmakers create a regulated system of in-state production of medical oil.  Legislation is expected </w:t>
      </w:r>
      <w:r w:rsidR="00F57C20">
        <w:rPr>
          <w:rStyle w:val="Hyperlink"/>
          <w:rFonts w:asciiTheme="minorHAnsi" w:hAnsiTheme="minorHAnsi" w:cstheme="minorHAnsi"/>
          <w:u w:val="none"/>
        </w:rPr>
        <w:t>to be filed in the House in the coming weeks.</w:t>
      </w:r>
    </w:p>
    <w:p w14:paraId="537570C3" w14:textId="77777777" w:rsidR="0064788C" w:rsidRDefault="0064788C" w:rsidP="0064788C">
      <w:pPr>
        <w:tabs>
          <w:tab w:val="right" w:pos="9360"/>
        </w:tabs>
        <w:rPr>
          <w:rStyle w:val="Hyperlink"/>
          <w:rFonts w:asciiTheme="minorHAnsi" w:hAnsiTheme="minorHAnsi" w:cstheme="minorHAnsi"/>
          <w:u w:val="none"/>
        </w:rPr>
      </w:pPr>
    </w:p>
    <w:p w14:paraId="310A4696" w14:textId="1ECCDE52"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Animal Welfare &amp; Regulation Issues</w:t>
      </w:r>
    </w:p>
    <w:p w14:paraId="7242C89F" w14:textId="13B5FF61" w:rsidR="0064788C" w:rsidRPr="003C094E" w:rsidRDefault="003C094E" w:rsidP="0064788C">
      <w:pPr>
        <w:tabs>
          <w:tab w:val="right" w:pos="9360"/>
        </w:tabs>
        <w:rPr>
          <w:rStyle w:val="Hyperlink"/>
          <w:rFonts w:asciiTheme="minorHAnsi" w:hAnsiTheme="minorHAnsi" w:cstheme="minorHAnsi"/>
          <w:b/>
          <w:u w:val="none"/>
        </w:rPr>
      </w:pPr>
      <w:hyperlink r:id="rId18" w:history="1">
        <w:r w:rsidRPr="003C094E">
          <w:rPr>
            <w:rStyle w:val="Hyperlink"/>
            <w:rFonts w:asciiTheme="minorHAnsi" w:hAnsiTheme="minorHAnsi" w:cstheme="minorHAnsi"/>
            <w:b/>
          </w:rPr>
          <w:t>SB 32</w:t>
        </w:r>
      </w:hyperlink>
      <w:r w:rsidRPr="003C094E">
        <w:rPr>
          <w:rStyle w:val="Hyperlink"/>
          <w:rFonts w:asciiTheme="minorHAnsi" w:hAnsiTheme="minorHAnsi" w:cstheme="minorHAnsi"/>
          <w:b/>
          <w:u w:val="none"/>
        </w:rPr>
        <w:t>: Animals in Hot Cars</w:t>
      </w:r>
      <w:r w:rsidRPr="003C094E">
        <w:rPr>
          <w:rStyle w:val="Hyperlink"/>
          <w:rFonts w:asciiTheme="minorHAnsi" w:hAnsiTheme="minorHAnsi" w:cstheme="minorHAnsi"/>
          <w:b/>
          <w:u w:val="none"/>
        </w:rPr>
        <w:tab/>
        <w:t>Sen. Kay Kirkpatrick, R-Marietta</w:t>
      </w:r>
    </w:p>
    <w:p w14:paraId="3F495682" w14:textId="67D3C54A" w:rsidR="003C094E" w:rsidRPr="003C094E" w:rsidRDefault="003C094E" w:rsidP="0064788C">
      <w:pPr>
        <w:tabs>
          <w:tab w:val="right" w:pos="9360"/>
        </w:tabs>
        <w:rPr>
          <w:rStyle w:val="Hyperlink"/>
          <w:rFonts w:asciiTheme="minorHAnsi" w:hAnsiTheme="minorHAnsi" w:cstheme="minorHAnsi"/>
          <w:b/>
          <w:u w:val="none"/>
        </w:rPr>
      </w:pPr>
      <w:r w:rsidRPr="003C094E">
        <w:rPr>
          <w:rStyle w:val="Hyperlink"/>
          <w:rFonts w:asciiTheme="minorHAnsi" w:hAnsiTheme="minorHAnsi" w:cstheme="minorHAnsi"/>
          <w:b/>
          <w:u w:val="none"/>
        </w:rPr>
        <w:t>Assigned to the Senate Special Judiciary Committee on 1/30</w:t>
      </w:r>
    </w:p>
    <w:p w14:paraId="28A1F229" w14:textId="7FC5039E" w:rsidR="003C094E" w:rsidRDefault="003C094E"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This legislation is the direct product of the Senate Study Committee on Service Animals.  It limits the liability for property damage caused by the rescue or attempted rescue of animals locked in motor vehicles, so long as the person first contacts emergency services.  Similar legislation – </w:t>
      </w:r>
      <w:hyperlink r:id="rId19" w:history="1">
        <w:r w:rsidRPr="003C094E">
          <w:rPr>
            <w:rStyle w:val="Hyperlink"/>
            <w:rFonts w:asciiTheme="minorHAnsi" w:hAnsiTheme="minorHAnsi" w:cstheme="minorHAnsi"/>
            <w:b/>
          </w:rPr>
          <w:t>SB 31</w:t>
        </w:r>
      </w:hyperlink>
      <w:r>
        <w:rPr>
          <w:rStyle w:val="Hyperlink"/>
          <w:rFonts w:asciiTheme="minorHAnsi" w:hAnsiTheme="minorHAnsi" w:cstheme="minorHAnsi"/>
          <w:u w:val="none"/>
        </w:rPr>
        <w:t xml:space="preserve"> – has also been filed; its liability limitation only applies to law enforcement officers attempting to rescue pets, not animals generally.</w:t>
      </w:r>
    </w:p>
    <w:p w14:paraId="3F05A068" w14:textId="77777777" w:rsidR="0064788C" w:rsidRDefault="0064788C" w:rsidP="0064788C">
      <w:pPr>
        <w:tabs>
          <w:tab w:val="right" w:pos="9360"/>
        </w:tabs>
        <w:rPr>
          <w:rStyle w:val="Hyperlink"/>
          <w:rFonts w:asciiTheme="minorHAnsi" w:hAnsiTheme="minorHAnsi" w:cstheme="minorHAnsi"/>
          <w:u w:val="none"/>
        </w:rPr>
      </w:pPr>
    </w:p>
    <w:p w14:paraId="13ECF1CC" w14:textId="394480B8"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Taxation Issues</w:t>
      </w:r>
    </w:p>
    <w:p w14:paraId="0B348A38" w14:textId="5C1AD74B" w:rsidR="003C094E" w:rsidRDefault="00C90AB9" w:rsidP="0064788C">
      <w:pPr>
        <w:tabs>
          <w:tab w:val="right" w:pos="9360"/>
        </w:tabs>
        <w:rPr>
          <w:rStyle w:val="Hyperlink"/>
          <w:rFonts w:asciiTheme="minorHAnsi" w:hAnsiTheme="minorHAnsi" w:cstheme="minorHAnsi"/>
          <w:b/>
          <w:u w:val="none"/>
        </w:rPr>
      </w:pPr>
      <w:hyperlink r:id="rId20" w:history="1">
        <w:r w:rsidR="003C094E" w:rsidRPr="00C90AB9">
          <w:rPr>
            <w:rStyle w:val="Hyperlink"/>
            <w:rFonts w:asciiTheme="minorHAnsi" w:hAnsiTheme="minorHAnsi" w:cstheme="minorHAnsi"/>
            <w:b/>
          </w:rPr>
          <w:t>HB 35</w:t>
        </w:r>
      </w:hyperlink>
      <w:r w:rsidR="003C094E">
        <w:rPr>
          <w:rStyle w:val="Hyperlink"/>
          <w:rFonts w:asciiTheme="minorHAnsi" w:hAnsiTheme="minorHAnsi" w:cstheme="minorHAnsi"/>
          <w:b/>
          <w:u w:val="none"/>
        </w:rPr>
        <w:t>: Poultry Disease Monitoring Services</w:t>
      </w:r>
      <w:r w:rsidR="003C094E">
        <w:rPr>
          <w:rStyle w:val="Hyperlink"/>
          <w:rFonts w:asciiTheme="minorHAnsi" w:hAnsiTheme="minorHAnsi" w:cstheme="minorHAnsi"/>
          <w:b/>
          <w:u w:val="none"/>
        </w:rPr>
        <w:tab/>
        <w:t>Rep. Sam Watson, R-Moultrie</w:t>
      </w:r>
    </w:p>
    <w:p w14:paraId="10F67524" w14:textId="59B961D5" w:rsidR="003C094E" w:rsidRPr="003C094E" w:rsidRDefault="003C094E" w:rsidP="0064788C">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Assigned to the House Ways and Means Committee on 1/28</w:t>
      </w:r>
    </w:p>
    <w:p w14:paraId="1521EF2A" w14:textId="4288B0E1" w:rsidR="003C094E" w:rsidRPr="003C094E" w:rsidRDefault="003C094E"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This bill creates a state sales tax exemption for sales to or by a nonprofit organization whose primary purpose is to provide poultry diagnostic and disease monitoring services.  The bill comes at the request of the poultry lab in Tifton.  Watson sponsored an identical bill last year.</w:t>
      </w:r>
    </w:p>
    <w:p w14:paraId="79A73EB0" w14:textId="77777777" w:rsidR="003C094E" w:rsidRDefault="003C094E" w:rsidP="0064788C">
      <w:pPr>
        <w:tabs>
          <w:tab w:val="right" w:pos="9360"/>
        </w:tabs>
        <w:rPr>
          <w:rStyle w:val="Hyperlink"/>
          <w:rFonts w:asciiTheme="minorHAnsi" w:hAnsiTheme="minorHAnsi" w:cstheme="minorHAnsi"/>
          <w:b/>
          <w:u w:val="none"/>
        </w:rPr>
      </w:pPr>
    </w:p>
    <w:p w14:paraId="377C25DB" w14:textId="77777777" w:rsidR="005F5D05" w:rsidRDefault="005F5D05" w:rsidP="0064788C">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br w:type="page"/>
      </w:r>
    </w:p>
    <w:p w14:paraId="47B67A2C" w14:textId="0B14C953" w:rsidR="0064788C" w:rsidRPr="003C094E" w:rsidRDefault="0064788C" w:rsidP="0064788C">
      <w:pPr>
        <w:tabs>
          <w:tab w:val="right" w:pos="9360"/>
        </w:tabs>
        <w:rPr>
          <w:rStyle w:val="Hyperlink"/>
          <w:rFonts w:asciiTheme="minorHAnsi" w:hAnsiTheme="minorHAnsi" w:cstheme="minorHAnsi"/>
          <w:b/>
          <w:u w:val="none"/>
        </w:rPr>
      </w:pPr>
      <w:hyperlink r:id="rId21" w:history="1">
        <w:r w:rsidRPr="003C094E">
          <w:rPr>
            <w:rStyle w:val="Hyperlink"/>
            <w:rFonts w:asciiTheme="minorHAnsi" w:hAnsiTheme="minorHAnsi" w:cstheme="minorHAnsi"/>
            <w:b/>
          </w:rPr>
          <w:t>HB 13</w:t>
        </w:r>
      </w:hyperlink>
      <w:r w:rsidRPr="003C094E">
        <w:rPr>
          <w:rStyle w:val="Hyperlink"/>
          <w:rFonts w:asciiTheme="minorHAnsi" w:hAnsiTheme="minorHAnsi" w:cstheme="minorHAnsi"/>
          <w:b/>
          <w:u w:val="none"/>
        </w:rPr>
        <w:t>: Horse Show Exemption</w:t>
      </w:r>
      <w:r w:rsidRPr="003C094E">
        <w:rPr>
          <w:rStyle w:val="Hyperlink"/>
          <w:rFonts w:asciiTheme="minorHAnsi" w:hAnsiTheme="minorHAnsi" w:cstheme="minorHAnsi"/>
          <w:b/>
          <w:u w:val="none"/>
        </w:rPr>
        <w:tab/>
        <w:t>Rep. Rick Williams, R-Milledgeville</w:t>
      </w:r>
    </w:p>
    <w:p w14:paraId="14B564ED" w14:textId="46EB3A6D" w:rsidR="0064788C" w:rsidRPr="003C094E" w:rsidRDefault="0064788C" w:rsidP="0064788C">
      <w:pPr>
        <w:tabs>
          <w:tab w:val="right" w:pos="9360"/>
        </w:tabs>
        <w:rPr>
          <w:rStyle w:val="Hyperlink"/>
          <w:rFonts w:asciiTheme="minorHAnsi" w:hAnsiTheme="minorHAnsi" w:cstheme="minorHAnsi"/>
          <w:b/>
          <w:u w:val="none"/>
        </w:rPr>
      </w:pPr>
      <w:r w:rsidRPr="003C094E">
        <w:rPr>
          <w:rStyle w:val="Hyperlink"/>
          <w:rFonts w:asciiTheme="minorHAnsi" w:hAnsiTheme="minorHAnsi" w:cstheme="minorHAnsi"/>
          <w:b/>
          <w:u w:val="none"/>
        </w:rPr>
        <w:t>Prefiled in the House on 1/8</w:t>
      </w:r>
    </w:p>
    <w:p w14:paraId="1C7B72AE" w14:textId="7880BF45" w:rsidR="0064788C" w:rsidRDefault="0064788C"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Similar to </w:t>
      </w:r>
      <w:hyperlink r:id="rId22" w:history="1">
        <w:r w:rsidRPr="0064788C">
          <w:rPr>
            <w:rStyle w:val="Hyperlink"/>
            <w:rFonts w:asciiTheme="minorHAnsi" w:hAnsiTheme="minorHAnsi" w:cstheme="minorHAnsi"/>
            <w:b/>
          </w:rPr>
          <w:t>HB 854</w:t>
        </w:r>
      </w:hyperlink>
      <w:r>
        <w:rPr>
          <w:rStyle w:val="Hyperlink"/>
          <w:rFonts w:asciiTheme="minorHAnsi" w:hAnsiTheme="minorHAnsi" w:cstheme="minorHAnsi"/>
          <w:u w:val="none"/>
        </w:rPr>
        <w:t xml:space="preserve"> pursued by the author last year, HB 13 creates an exemption from state sales taxes for participation fees or admission prices for certain nonprofit horse shows, rodeos, or livestock events or exhibitions.  While last year’s effort had enough support to come out of the House Ways and Means Committee, it did not advance.</w:t>
      </w:r>
    </w:p>
    <w:p w14:paraId="24206E4F" w14:textId="77777777" w:rsidR="003C094E" w:rsidRPr="0064788C" w:rsidRDefault="003C094E" w:rsidP="0064788C">
      <w:pPr>
        <w:tabs>
          <w:tab w:val="right" w:pos="9360"/>
        </w:tabs>
        <w:rPr>
          <w:rStyle w:val="Hyperlink"/>
          <w:rFonts w:asciiTheme="minorHAnsi" w:hAnsiTheme="minorHAnsi" w:cstheme="minorHAnsi"/>
          <w:u w:val="none"/>
        </w:rPr>
      </w:pPr>
    </w:p>
    <w:p w14:paraId="140AF7C6" w14:textId="1A5A453F"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Licensing Issues</w:t>
      </w:r>
    </w:p>
    <w:p w14:paraId="03D0341C" w14:textId="266035D5" w:rsidR="0064788C" w:rsidRDefault="00C90AB9"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In response to systemic underfunding issues, the GVMA is working with like-minded associations to lobby the General Assembly towards a solution that would give each professional licensing board the ability to set its own fees </w:t>
      </w:r>
      <w:r w:rsidR="00FF2D95">
        <w:rPr>
          <w:rStyle w:val="Hyperlink"/>
          <w:rFonts w:asciiTheme="minorHAnsi" w:hAnsiTheme="minorHAnsi" w:cstheme="minorHAnsi"/>
          <w:u w:val="none"/>
        </w:rPr>
        <w:t xml:space="preserve">commensurate </w:t>
      </w:r>
      <w:r>
        <w:rPr>
          <w:rStyle w:val="Hyperlink"/>
          <w:rFonts w:asciiTheme="minorHAnsi" w:hAnsiTheme="minorHAnsi" w:cstheme="minorHAnsi"/>
          <w:u w:val="none"/>
        </w:rPr>
        <w:t xml:space="preserve">with the level of service, staffing and enforcement </w:t>
      </w:r>
      <w:r w:rsidR="00E5195F">
        <w:rPr>
          <w:rStyle w:val="Hyperlink"/>
          <w:rFonts w:asciiTheme="minorHAnsi" w:hAnsiTheme="minorHAnsi" w:cstheme="minorHAnsi"/>
          <w:u w:val="none"/>
        </w:rPr>
        <w:t>desired</w:t>
      </w:r>
      <w:r>
        <w:rPr>
          <w:rStyle w:val="Hyperlink"/>
          <w:rFonts w:asciiTheme="minorHAnsi" w:hAnsiTheme="minorHAnsi" w:cstheme="minorHAnsi"/>
          <w:u w:val="none"/>
        </w:rPr>
        <w:t xml:space="preserve">.  </w:t>
      </w:r>
      <w:r w:rsidR="00382983">
        <w:rPr>
          <w:rStyle w:val="Hyperlink"/>
          <w:rFonts w:asciiTheme="minorHAnsi" w:hAnsiTheme="minorHAnsi" w:cstheme="minorHAnsi"/>
          <w:u w:val="none"/>
        </w:rPr>
        <w:t>It c</w:t>
      </w:r>
      <w:r>
        <w:rPr>
          <w:rStyle w:val="Hyperlink"/>
          <w:rFonts w:asciiTheme="minorHAnsi" w:hAnsiTheme="minorHAnsi" w:cstheme="minorHAnsi"/>
          <w:u w:val="none"/>
        </w:rPr>
        <w:t>ould also include a mechanism to ensure licensure fees are appropriated back to the boards.</w:t>
      </w:r>
    </w:p>
    <w:p w14:paraId="06982AB1" w14:textId="77777777" w:rsidR="00C90AB9" w:rsidRDefault="00C90AB9" w:rsidP="0064788C">
      <w:pPr>
        <w:tabs>
          <w:tab w:val="right" w:pos="9360"/>
        </w:tabs>
        <w:rPr>
          <w:rStyle w:val="Hyperlink"/>
          <w:rFonts w:asciiTheme="minorHAnsi" w:hAnsiTheme="minorHAnsi" w:cstheme="minorHAnsi"/>
          <w:u w:val="none"/>
        </w:rPr>
      </w:pPr>
    </w:p>
    <w:p w14:paraId="16AA8273" w14:textId="1EEDA2D3" w:rsidR="00C90AB9" w:rsidRDefault="00C90AB9"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It is essential to note that dissatisfaction with the professional licensing division is not a criticism of former Secretary Brian Kemp, current Secretary Brad Raffensperger, office employees or members of individual boards.  Issues are longstanding, span many different administrations, and </w:t>
      </w:r>
      <w:r w:rsidR="00FF2D95">
        <w:rPr>
          <w:rStyle w:val="Hyperlink"/>
          <w:rFonts w:asciiTheme="minorHAnsi" w:hAnsiTheme="minorHAnsi" w:cstheme="minorHAnsi"/>
          <w:u w:val="none"/>
        </w:rPr>
        <w:t xml:space="preserve">are </w:t>
      </w:r>
      <w:r>
        <w:rPr>
          <w:rStyle w:val="Hyperlink"/>
          <w:rFonts w:asciiTheme="minorHAnsi" w:hAnsiTheme="minorHAnsi" w:cstheme="minorHAnsi"/>
          <w:u w:val="none"/>
        </w:rPr>
        <w:t>ultimately the result of underfunding: Georgia’s 41 professional boards generate approximately $18 million in fees, yet the</w:t>
      </w:r>
      <w:r w:rsidR="00E5195F">
        <w:rPr>
          <w:rStyle w:val="Hyperlink"/>
          <w:rFonts w:asciiTheme="minorHAnsi" w:hAnsiTheme="minorHAnsi" w:cstheme="minorHAnsi"/>
          <w:u w:val="none"/>
        </w:rPr>
        <w:t>y</w:t>
      </w:r>
      <w:r>
        <w:rPr>
          <w:rStyle w:val="Hyperlink"/>
          <w:rFonts w:asciiTheme="minorHAnsi" w:hAnsiTheme="minorHAnsi" w:cstheme="minorHAnsi"/>
          <w:u w:val="none"/>
        </w:rPr>
        <w:t xml:space="preserve"> receive only about $8 million back from the state for operations.</w:t>
      </w:r>
      <w:r w:rsidR="00E5195F">
        <w:rPr>
          <w:rStyle w:val="Hyperlink"/>
          <w:rFonts w:asciiTheme="minorHAnsi" w:hAnsiTheme="minorHAnsi" w:cstheme="minorHAnsi"/>
          <w:u w:val="none"/>
        </w:rPr>
        <w:t xml:space="preserve">  This is likely to be a multi-year effort.</w:t>
      </w:r>
    </w:p>
    <w:p w14:paraId="656BCD18" w14:textId="77777777" w:rsidR="0064788C" w:rsidRDefault="0064788C" w:rsidP="0064788C">
      <w:pPr>
        <w:tabs>
          <w:tab w:val="right" w:pos="9360"/>
        </w:tabs>
        <w:rPr>
          <w:rStyle w:val="Hyperlink"/>
          <w:rFonts w:asciiTheme="minorHAnsi" w:hAnsiTheme="minorHAnsi" w:cstheme="minorHAnsi"/>
          <w:u w:val="none"/>
        </w:rPr>
      </w:pPr>
    </w:p>
    <w:p w14:paraId="035FF955" w14:textId="77777777" w:rsidR="0064788C" w:rsidRDefault="0064788C" w:rsidP="0064788C">
      <w:pPr>
        <w:tabs>
          <w:tab w:val="right" w:pos="9360"/>
        </w:tabs>
        <w:rPr>
          <w:rStyle w:val="Hyperlink"/>
          <w:rFonts w:asciiTheme="minorHAnsi" w:hAnsiTheme="minorHAnsi" w:cstheme="minorHAnsi"/>
          <w:u w:val="none"/>
        </w:rPr>
      </w:pPr>
    </w:p>
    <w:p w14:paraId="2B31F3CC" w14:textId="3E795220" w:rsidR="00DA41FB" w:rsidRPr="00112E9D" w:rsidRDefault="00DA41FB" w:rsidP="0064788C">
      <w:pPr>
        <w:tabs>
          <w:tab w:val="right" w:pos="9360"/>
        </w:tabs>
        <w:jc w:val="center"/>
        <w:rPr>
          <w:rFonts w:asciiTheme="minorHAnsi" w:eastAsia="Times New Roman" w:hAnsiTheme="minorHAnsi" w:cstheme="minorHAnsi"/>
          <w:b/>
        </w:rPr>
      </w:pPr>
      <w:r w:rsidRPr="00112E9D">
        <w:rPr>
          <w:rFonts w:asciiTheme="minorHAnsi" w:eastAsia="Times New Roman" w:hAnsiTheme="minorHAnsi" w:cstheme="minorHAnsi"/>
          <w:b/>
        </w:rPr>
        <w:t>The next legislative up</w:t>
      </w:r>
      <w:r>
        <w:rPr>
          <w:rFonts w:asciiTheme="minorHAnsi" w:eastAsia="Times New Roman" w:hAnsiTheme="minorHAnsi" w:cstheme="minorHAnsi"/>
          <w:b/>
        </w:rPr>
        <w:t>d</w:t>
      </w:r>
      <w:r w:rsidR="00C50062">
        <w:rPr>
          <w:rFonts w:asciiTheme="minorHAnsi" w:eastAsia="Times New Roman" w:hAnsiTheme="minorHAnsi" w:cstheme="minorHAnsi"/>
          <w:b/>
        </w:rPr>
        <w:t xml:space="preserve">ate will </w:t>
      </w:r>
      <w:r w:rsidR="00E5195F">
        <w:rPr>
          <w:rFonts w:asciiTheme="minorHAnsi" w:eastAsia="Times New Roman" w:hAnsiTheme="minorHAnsi" w:cstheme="minorHAnsi"/>
          <w:b/>
        </w:rPr>
        <w:t>be available February 8</w:t>
      </w:r>
    </w:p>
    <w:sectPr w:rsidR="00DA41FB" w:rsidRPr="00112E9D" w:rsidSect="005F5D05">
      <w:footerReference w:type="default" r:id="rId23"/>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CB4D7" w14:textId="77777777" w:rsidR="00877853" w:rsidRDefault="00877853">
      <w:r>
        <w:separator/>
      </w:r>
    </w:p>
  </w:endnote>
  <w:endnote w:type="continuationSeparator" w:id="0">
    <w:p w14:paraId="365C7243" w14:textId="77777777" w:rsidR="00877853" w:rsidRDefault="0087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B699" w14:textId="2A89C75E" w:rsidR="00D262AC" w:rsidRPr="00177048" w:rsidRDefault="00D262AC">
    <w:pPr>
      <w:pStyle w:val="Footer"/>
      <w:tabs>
        <w:tab w:val="clear" w:pos="9360"/>
        <w:tab w:val="right" w:pos="9340"/>
      </w:tabs>
      <w:rPr>
        <w:rFonts w:asciiTheme="minorHAnsi" w:hAnsiTheme="minorHAnsi"/>
      </w:rPr>
    </w:pPr>
    <w:r w:rsidRPr="00177048">
      <w:rPr>
        <w:rFonts w:asciiTheme="minorHAnsi" w:hAnsiTheme="minorHAnsi"/>
        <w:sz w:val="20"/>
        <w:szCs w:val="20"/>
      </w:rPr>
      <w:t>201</w:t>
    </w:r>
    <w:r w:rsidR="00CA793D">
      <w:rPr>
        <w:rFonts w:asciiTheme="minorHAnsi" w:hAnsiTheme="minorHAnsi"/>
        <w:sz w:val="20"/>
        <w:szCs w:val="20"/>
      </w:rPr>
      <w:t>9</w:t>
    </w:r>
    <w:r w:rsidRPr="00177048">
      <w:rPr>
        <w:rFonts w:asciiTheme="minorHAnsi" w:hAnsiTheme="minorHAnsi"/>
        <w:sz w:val="20"/>
        <w:szCs w:val="20"/>
      </w:rPr>
      <w:t xml:space="preserve"> Legislative Report</w:t>
    </w:r>
    <w:r w:rsidRPr="00177048">
      <w:rPr>
        <w:rFonts w:asciiTheme="minorHAnsi" w:hAnsiTheme="minorHAnsi"/>
        <w:sz w:val="20"/>
        <w:szCs w:val="20"/>
      </w:rPr>
      <w:tab/>
    </w:r>
    <w:r w:rsidRPr="00177048">
      <w:rPr>
        <w:rFonts w:asciiTheme="minorHAnsi" w:hAnsiTheme="minorHAnsi"/>
        <w:sz w:val="20"/>
        <w:szCs w:val="20"/>
      </w:rPr>
      <w:tab/>
      <w:t xml:space="preserve">Page </w:t>
    </w:r>
    <w:r w:rsidRPr="00177048">
      <w:rPr>
        <w:rFonts w:asciiTheme="minorHAnsi" w:eastAsia="Trebuchet MS" w:hAnsiTheme="minorHAnsi" w:cs="Trebuchet MS"/>
        <w:sz w:val="20"/>
        <w:szCs w:val="20"/>
      </w:rPr>
      <w:fldChar w:fldCharType="begin"/>
    </w:r>
    <w:r w:rsidRPr="00177048">
      <w:rPr>
        <w:rFonts w:asciiTheme="minorHAnsi" w:eastAsia="Trebuchet MS" w:hAnsiTheme="minorHAnsi" w:cs="Trebuchet MS"/>
        <w:sz w:val="20"/>
        <w:szCs w:val="20"/>
      </w:rPr>
      <w:instrText xml:space="preserve"> PAGE </w:instrText>
    </w:r>
    <w:r w:rsidRPr="00177048">
      <w:rPr>
        <w:rFonts w:asciiTheme="minorHAnsi" w:eastAsia="Trebuchet MS" w:hAnsiTheme="minorHAnsi" w:cs="Trebuchet MS"/>
        <w:sz w:val="20"/>
        <w:szCs w:val="20"/>
      </w:rPr>
      <w:fldChar w:fldCharType="separate"/>
    </w:r>
    <w:r w:rsidR="00382983">
      <w:rPr>
        <w:rFonts w:asciiTheme="minorHAnsi" w:eastAsia="Trebuchet MS" w:hAnsiTheme="minorHAnsi" w:cs="Trebuchet MS"/>
        <w:noProof/>
        <w:sz w:val="20"/>
        <w:szCs w:val="20"/>
      </w:rPr>
      <w:t>1</w:t>
    </w:r>
    <w:r w:rsidRPr="00177048">
      <w:rPr>
        <w:rFonts w:asciiTheme="minorHAnsi" w:eastAsia="Trebuchet MS" w:hAnsiTheme="minorHAnsi" w:cs="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40CA" w14:textId="77777777" w:rsidR="00877853" w:rsidRDefault="00877853">
      <w:r>
        <w:separator/>
      </w:r>
    </w:p>
  </w:footnote>
  <w:footnote w:type="continuationSeparator" w:id="0">
    <w:p w14:paraId="1856FD80" w14:textId="77777777" w:rsidR="00877853" w:rsidRDefault="00877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0F1"/>
    <w:multiLevelType w:val="hybridMultilevel"/>
    <w:tmpl w:val="DC92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2990"/>
    <w:multiLevelType w:val="multilevel"/>
    <w:tmpl w:val="58DA1910"/>
    <w:styleLink w:val="List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 w15:restartNumberingAfterBreak="0">
    <w:nsid w:val="0BBC5871"/>
    <w:multiLevelType w:val="hybridMultilevel"/>
    <w:tmpl w:val="3F4C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001CA"/>
    <w:multiLevelType w:val="hybridMultilevel"/>
    <w:tmpl w:val="84E8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31E6"/>
    <w:multiLevelType w:val="hybridMultilevel"/>
    <w:tmpl w:val="23EE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761606"/>
    <w:multiLevelType w:val="multilevel"/>
    <w:tmpl w:val="4DD6A2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3AD6582"/>
    <w:multiLevelType w:val="hybridMultilevel"/>
    <w:tmpl w:val="DE9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72E0C"/>
    <w:multiLevelType w:val="hybridMultilevel"/>
    <w:tmpl w:val="9B36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27004"/>
    <w:multiLevelType w:val="hybridMultilevel"/>
    <w:tmpl w:val="49B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71AE0"/>
    <w:multiLevelType w:val="hybridMultilevel"/>
    <w:tmpl w:val="5C5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47F6F"/>
    <w:multiLevelType w:val="hybridMultilevel"/>
    <w:tmpl w:val="9E1AF000"/>
    <w:lvl w:ilvl="0" w:tplc="95E6FD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50301"/>
    <w:multiLevelType w:val="multilevel"/>
    <w:tmpl w:val="E8D6E9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37613524"/>
    <w:multiLevelType w:val="hybridMultilevel"/>
    <w:tmpl w:val="DA1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405AA"/>
    <w:multiLevelType w:val="multilevel"/>
    <w:tmpl w:val="14988658"/>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4" w15:restartNumberingAfterBreak="0">
    <w:nsid w:val="4B220AF9"/>
    <w:multiLevelType w:val="hybridMultilevel"/>
    <w:tmpl w:val="4A8A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7706A"/>
    <w:multiLevelType w:val="hybridMultilevel"/>
    <w:tmpl w:val="D924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26859"/>
    <w:multiLevelType w:val="multilevel"/>
    <w:tmpl w:val="C778E7C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7" w15:restartNumberingAfterBreak="0">
    <w:nsid w:val="62ED5E1D"/>
    <w:multiLevelType w:val="hybridMultilevel"/>
    <w:tmpl w:val="9DC8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25F4F"/>
    <w:multiLevelType w:val="multilevel"/>
    <w:tmpl w:val="48FA184E"/>
    <w:styleLink w:val="List1"/>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num w:numId="1">
    <w:abstractNumId w:val="13"/>
  </w:num>
  <w:num w:numId="2">
    <w:abstractNumId w:val="5"/>
  </w:num>
  <w:num w:numId="3">
    <w:abstractNumId w:val="1"/>
  </w:num>
  <w:num w:numId="4">
    <w:abstractNumId w:val="16"/>
  </w:num>
  <w:num w:numId="5">
    <w:abstractNumId w:val="11"/>
  </w:num>
  <w:num w:numId="6">
    <w:abstractNumId w:val="18"/>
  </w:num>
  <w:num w:numId="7">
    <w:abstractNumId w:val="8"/>
  </w:num>
  <w:num w:numId="8">
    <w:abstractNumId w:val="15"/>
  </w:num>
  <w:num w:numId="9">
    <w:abstractNumId w:val="4"/>
  </w:num>
  <w:num w:numId="10">
    <w:abstractNumId w:val="0"/>
  </w:num>
  <w:num w:numId="11">
    <w:abstractNumId w:val="2"/>
  </w:num>
  <w:num w:numId="12">
    <w:abstractNumId w:val="12"/>
  </w:num>
  <w:num w:numId="13">
    <w:abstractNumId w:val="3"/>
  </w:num>
  <w:num w:numId="14">
    <w:abstractNumId w:val="9"/>
  </w:num>
  <w:num w:numId="15">
    <w:abstractNumId w:val="10"/>
  </w:num>
  <w:num w:numId="16">
    <w:abstractNumId w:val="7"/>
  </w:num>
  <w:num w:numId="17">
    <w:abstractNumId w:val="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32"/>
    <w:rsid w:val="000377D9"/>
    <w:rsid w:val="00045FCB"/>
    <w:rsid w:val="000460B9"/>
    <w:rsid w:val="00051AD5"/>
    <w:rsid w:val="000555AF"/>
    <w:rsid w:val="00065D79"/>
    <w:rsid w:val="00072F9F"/>
    <w:rsid w:val="00074A7A"/>
    <w:rsid w:val="00095991"/>
    <w:rsid w:val="000965A7"/>
    <w:rsid w:val="000A245B"/>
    <w:rsid w:val="000B1E51"/>
    <w:rsid w:val="000C58DF"/>
    <w:rsid w:val="000E47BD"/>
    <w:rsid w:val="000E7A2C"/>
    <w:rsid w:val="000F6FE5"/>
    <w:rsid w:val="00107D44"/>
    <w:rsid w:val="00107F9E"/>
    <w:rsid w:val="00112E9D"/>
    <w:rsid w:val="00136E43"/>
    <w:rsid w:val="00143E51"/>
    <w:rsid w:val="00173835"/>
    <w:rsid w:val="001739FD"/>
    <w:rsid w:val="00177048"/>
    <w:rsid w:val="00193D2F"/>
    <w:rsid w:val="00194D44"/>
    <w:rsid w:val="001A13FF"/>
    <w:rsid w:val="001A5E5E"/>
    <w:rsid w:val="001D6309"/>
    <w:rsid w:val="001E24D4"/>
    <w:rsid w:val="001F2410"/>
    <w:rsid w:val="001F5B74"/>
    <w:rsid w:val="00201116"/>
    <w:rsid w:val="00204C5C"/>
    <w:rsid w:val="00221E56"/>
    <w:rsid w:val="0022389E"/>
    <w:rsid w:val="00225C50"/>
    <w:rsid w:val="00226D57"/>
    <w:rsid w:val="002410C0"/>
    <w:rsid w:val="00244F08"/>
    <w:rsid w:val="002808D6"/>
    <w:rsid w:val="0029072F"/>
    <w:rsid w:val="00292741"/>
    <w:rsid w:val="00294A49"/>
    <w:rsid w:val="00294BFA"/>
    <w:rsid w:val="002A77BE"/>
    <w:rsid w:val="002C232C"/>
    <w:rsid w:val="002D6E32"/>
    <w:rsid w:val="00304415"/>
    <w:rsid w:val="0031271E"/>
    <w:rsid w:val="0031723A"/>
    <w:rsid w:val="003337FC"/>
    <w:rsid w:val="00334985"/>
    <w:rsid w:val="003456E3"/>
    <w:rsid w:val="00353D44"/>
    <w:rsid w:val="00361EB7"/>
    <w:rsid w:val="00364008"/>
    <w:rsid w:val="003723C8"/>
    <w:rsid w:val="00381967"/>
    <w:rsid w:val="00382983"/>
    <w:rsid w:val="00384382"/>
    <w:rsid w:val="00386BFE"/>
    <w:rsid w:val="003A5FB5"/>
    <w:rsid w:val="003B07B9"/>
    <w:rsid w:val="003C094E"/>
    <w:rsid w:val="003C0D4E"/>
    <w:rsid w:val="003D1894"/>
    <w:rsid w:val="003D2E71"/>
    <w:rsid w:val="003E24B8"/>
    <w:rsid w:val="003E2A45"/>
    <w:rsid w:val="003E5E92"/>
    <w:rsid w:val="003F50B8"/>
    <w:rsid w:val="003F6203"/>
    <w:rsid w:val="00432033"/>
    <w:rsid w:val="0045494E"/>
    <w:rsid w:val="00481C74"/>
    <w:rsid w:val="004A5823"/>
    <w:rsid w:val="004C6406"/>
    <w:rsid w:val="004E25AF"/>
    <w:rsid w:val="004E587F"/>
    <w:rsid w:val="004E7273"/>
    <w:rsid w:val="0050430A"/>
    <w:rsid w:val="00520381"/>
    <w:rsid w:val="00520C91"/>
    <w:rsid w:val="00521758"/>
    <w:rsid w:val="00523CD3"/>
    <w:rsid w:val="00527A46"/>
    <w:rsid w:val="00582190"/>
    <w:rsid w:val="005912F6"/>
    <w:rsid w:val="005A7A60"/>
    <w:rsid w:val="005B7350"/>
    <w:rsid w:val="005C0D47"/>
    <w:rsid w:val="005E0F01"/>
    <w:rsid w:val="005E5042"/>
    <w:rsid w:val="005E57C8"/>
    <w:rsid w:val="005E6774"/>
    <w:rsid w:val="005F5D05"/>
    <w:rsid w:val="00610500"/>
    <w:rsid w:val="00610A66"/>
    <w:rsid w:val="0063667F"/>
    <w:rsid w:val="00643336"/>
    <w:rsid w:val="0064368F"/>
    <w:rsid w:val="0064449D"/>
    <w:rsid w:val="00644BEE"/>
    <w:rsid w:val="0064788C"/>
    <w:rsid w:val="00664222"/>
    <w:rsid w:val="006861E3"/>
    <w:rsid w:val="0069462B"/>
    <w:rsid w:val="006A047C"/>
    <w:rsid w:val="006A23B2"/>
    <w:rsid w:val="006A2B41"/>
    <w:rsid w:val="006A7829"/>
    <w:rsid w:val="006C7D40"/>
    <w:rsid w:val="006E466A"/>
    <w:rsid w:val="006F7617"/>
    <w:rsid w:val="00720E77"/>
    <w:rsid w:val="00733104"/>
    <w:rsid w:val="00740FD1"/>
    <w:rsid w:val="00744654"/>
    <w:rsid w:val="007541DE"/>
    <w:rsid w:val="00774602"/>
    <w:rsid w:val="0078050E"/>
    <w:rsid w:val="00782A3D"/>
    <w:rsid w:val="00782CE3"/>
    <w:rsid w:val="0079048C"/>
    <w:rsid w:val="00792F30"/>
    <w:rsid w:val="007A340B"/>
    <w:rsid w:val="007A36BE"/>
    <w:rsid w:val="007A5DF8"/>
    <w:rsid w:val="007C0D2B"/>
    <w:rsid w:val="007C6294"/>
    <w:rsid w:val="007F361C"/>
    <w:rsid w:val="007F49F3"/>
    <w:rsid w:val="00816246"/>
    <w:rsid w:val="00821A6A"/>
    <w:rsid w:val="00822B96"/>
    <w:rsid w:val="00837E53"/>
    <w:rsid w:val="008474E2"/>
    <w:rsid w:val="008744A6"/>
    <w:rsid w:val="00875081"/>
    <w:rsid w:val="00877853"/>
    <w:rsid w:val="00880855"/>
    <w:rsid w:val="008941CC"/>
    <w:rsid w:val="008A0188"/>
    <w:rsid w:val="008B18F4"/>
    <w:rsid w:val="008B3192"/>
    <w:rsid w:val="008F153D"/>
    <w:rsid w:val="008F4005"/>
    <w:rsid w:val="00904E23"/>
    <w:rsid w:val="00912D1C"/>
    <w:rsid w:val="00921873"/>
    <w:rsid w:val="00926F8D"/>
    <w:rsid w:val="00927207"/>
    <w:rsid w:val="0094169C"/>
    <w:rsid w:val="00950181"/>
    <w:rsid w:val="009552C0"/>
    <w:rsid w:val="009648E0"/>
    <w:rsid w:val="00983D5A"/>
    <w:rsid w:val="00991FA6"/>
    <w:rsid w:val="0099555E"/>
    <w:rsid w:val="009A1E79"/>
    <w:rsid w:val="009A7590"/>
    <w:rsid w:val="009E6839"/>
    <w:rsid w:val="009E74BA"/>
    <w:rsid w:val="00A3588C"/>
    <w:rsid w:val="00A41D86"/>
    <w:rsid w:val="00A54D73"/>
    <w:rsid w:val="00A666E1"/>
    <w:rsid w:val="00A8065E"/>
    <w:rsid w:val="00AA3BB1"/>
    <w:rsid w:val="00AB5F30"/>
    <w:rsid w:val="00AB68A7"/>
    <w:rsid w:val="00AC151B"/>
    <w:rsid w:val="00AC42F8"/>
    <w:rsid w:val="00AD1614"/>
    <w:rsid w:val="00AD36A8"/>
    <w:rsid w:val="00AE5DD5"/>
    <w:rsid w:val="00B044E2"/>
    <w:rsid w:val="00B10252"/>
    <w:rsid w:val="00B16034"/>
    <w:rsid w:val="00B16516"/>
    <w:rsid w:val="00B17631"/>
    <w:rsid w:val="00B35B53"/>
    <w:rsid w:val="00B44590"/>
    <w:rsid w:val="00B51D67"/>
    <w:rsid w:val="00B548F6"/>
    <w:rsid w:val="00B56293"/>
    <w:rsid w:val="00BB39EF"/>
    <w:rsid w:val="00BB5D15"/>
    <w:rsid w:val="00BD155A"/>
    <w:rsid w:val="00BD724B"/>
    <w:rsid w:val="00BE3C06"/>
    <w:rsid w:val="00BE6F29"/>
    <w:rsid w:val="00BF4D5E"/>
    <w:rsid w:val="00BF6417"/>
    <w:rsid w:val="00C23C49"/>
    <w:rsid w:val="00C27422"/>
    <w:rsid w:val="00C44D9F"/>
    <w:rsid w:val="00C50062"/>
    <w:rsid w:val="00C52C95"/>
    <w:rsid w:val="00C64074"/>
    <w:rsid w:val="00C644BC"/>
    <w:rsid w:val="00C762DA"/>
    <w:rsid w:val="00C76691"/>
    <w:rsid w:val="00C8242A"/>
    <w:rsid w:val="00C86673"/>
    <w:rsid w:val="00C90AB9"/>
    <w:rsid w:val="00C91444"/>
    <w:rsid w:val="00CA4319"/>
    <w:rsid w:val="00CA6781"/>
    <w:rsid w:val="00CA793D"/>
    <w:rsid w:val="00CB5AF3"/>
    <w:rsid w:val="00CB69E7"/>
    <w:rsid w:val="00CC4864"/>
    <w:rsid w:val="00D109B2"/>
    <w:rsid w:val="00D11FB2"/>
    <w:rsid w:val="00D14DAD"/>
    <w:rsid w:val="00D262AC"/>
    <w:rsid w:val="00D36BE7"/>
    <w:rsid w:val="00D71212"/>
    <w:rsid w:val="00D7523D"/>
    <w:rsid w:val="00D833AB"/>
    <w:rsid w:val="00D91A49"/>
    <w:rsid w:val="00D9437F"/>
    <w:rsid w:val="00D96CB4"/>
    <w:rsid w:val="00DA41FB"/>
    <w:rsid w:val="00DA7C47"/>
    <w:rsid w:val="00DB15A2"/>
    <w:rsid w:val="00DB47EF"/>
    <w:rsid w:val="00DB7F74"/>
    <w:rsid w:val="00DF53C2"/>
    <w:rsid w:val="00E05801"/>
    <w:rsid w:val="00E11A4E"/>
    <w:rsid w:val="00E17F48"/>
    <w:rsid w:val="00E26100"/>
    <w:rsid w:val="00E4105C"/>
    <w:rsid w:val="00E43ED0"/>
    <w:rsid w:val="00E5173C"/>
    <w:rsid w:val="00E5195F"/>
    <w:rsid w:val="00E54ED2"/>
    <w:rsid w:val="00E575C2"/>
    <w:rsid w:val="00E65330"/>
    <w:rsid w:val="00E67810"/>
    <w:rsid w:val="00E67A0A"/>
    <w:rsid w:val="00E70AAD"/>
    <w:rsid w:val="00E73A89"/>
    <w:rsid w:val="00E77C15"/>
    <w:rsid w:val="00E97ACE"/>
    <w:rsid w:val="00EC07C6"/>
    <w:rsid w:val="00EC4DA6"/>
    <w:rsid w:val="00EE1BA6"/>
    <w:rsid w:val="00EF15AA"/>
    <w:rsid w:val="00EF6A65"/>
    <w:rsid w:val="00F06DEE"/>
    <w:rsid w:val="00F302CC"/>
    <w:rsid w:val="00F318EC"/>
    <w:rsid w:val="00F44B28"/>
    <w:rsid w:val="00F57C20"/>
    <w:rsid w:val="00F61258"/>
    <w:rsid w:val="00F61C46"/>
    <w:rsid w:val="00F7356C"/>
    <w:rsid w:val="00FA2697"/>
    <w:rsid w:val="00FA3A94"/>
    <w:rsid w:val="00FB4B53"/>
    <w:rsid w:val="00FF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EE706"/>
  <w15:docId w15:val="{EBB4FD8B-5ADE-4EA0-960B-686AFFA1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link w:val="Heading2Char"/>
    <w:pPr>
      <w:keepNext/>
      <w:keepLines/>
      <w:spacing w:before="200"/>
      <w:outlineLvl w:val="1"/>
    </w:pPr>
    <w:rPr>
      <w:rFonts w:ascii="Times New Roman Bold" w:hAnsi="Arial Unicode MS" w:cs="Arial Unicode M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Garamond" w:hAnsi="Arial Unicode MS" w:cs="Arial Unicode MS"/>
      <w:color w:val="000000"/>
      <w:sz w:val="24"/>
      <w:szCs w:val="24"/>
      <w:u w:color="000000"/>
    </w:rPr>
  </w:style>
  <w:style w:type="paragraph" w:styleId="Title">
    <w:name w:val="Title"/>
    <w:next w:val="Body"/>
    <w:link w:val="TitleChar"/>
    <w:uiPriority w:val="10"/>
    <w:qFormat/>
    <w:pPr>
      <w:spacing w:after="300"/>
    </w:pPr>
    <w:rPr>
      <w:rFonts w:hAnsi="Arial Unicode MS" w:cs="Arial Unicode MS"/>
      <w:color w:val="17365D"/>
      <w:spacing w:val="5"/>
      <w:kern w:val="28"/>
      <w:sz w:val="52"/>
      <w:szCs w:val="52"/>
      <w:u w:color="17365D"/>
    </w:rPr>
  </w:style>
  <w:style w:type="paragraph" w:customStyle="1" w:styleId="Body">
    <w:name w:val="Body"/>
    <w:rPr>
      <w:rFonts w:ascii="Garamond"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Bold" w:eastAsia="Trebuchet MS Bold" w:hAnsi="Trebuchet MS Bold" w:cs="Trebuchet MS Bold"/>
      <w:color w:val="000000"/>
      <w:u w:val="single" w:color="000000"/>
    </w:rPr>
  </w:style>
  <w:style w:type="paragraph" w:styleId="ListParagraph">
    <w:name w:val="List Paragraph"/>
    <w:uiPriority w:val="34"/>
    <w:qFormat/>
    <w:pPr>
      <w:ind w:left="720"/>
    </w:pPr>
    <w:rPr>
      <w:rFonts w:ascii="Garamond"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Arial Unicode MS" w:hAnsi="Helvetica" w:cs="Arial Unicode MS"/>
      <w:color w:val="000000"/>
      <w:sz w:val="22"/>
      <w:szCs w:val="22"/>
    </w:rPr>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Hyperlink1">
    <w:name w:val="Hyperlink.1"/>
    <w:basedOn w:val="Link"/>
    <w:rPr>
      <w:rFonts w:ascii="Trebuchet MS" w:eastAsia="Trebuchet MS" w:hAnsi="Trebuchet MS" w:cs="Trebuchet MS"/>
      <w:color w:val="0000FF"/>
      <w:u w:val="single" w:color="0000FF"/>
    </w:rPr>
  </w:style>
  <w:style w:type="character" w:customStyle="1" w:styleId="TitleChar">
    <w:name w:val="Title Char"/>
    <w:basedOn w:val="DefaultParagraphFont"/>
    <w:link w:val="Title"/>
    <w:uiPriority w:val="10"/>
    <w:rsid w:val="00744654"/>
    <w:rPr>
      <w:rFonts w:hAnsi="Arial Unicode MS" w:cs="Arial Unicode MS"/>
      <w:color w:val="17365D"/>
      <w:spacing w:val="5"/>
      <w:kern w:val="28"/>
      <w:sz w:val="52"/>
      <w:szCs w:val="52"/>
      <w:u w:color="17365D"/>
    </w:rPr>
  </w:style>
  <w:style w:type="paragraph" w:styleId="Header">
    <w:name w:val="header"/>
    <w:basedOn w:val="Normal"/>
    <w:link w:val="HeaderChar"/>
    <w:uiPriority w:val="99"/>
    <w:unhideWhenUsed/>
    <w:rsid w:val="00177048"/>
    <w:pPr>
      <w:tabs>
        <w:tab w:val="center" w:pos="4680"/>
        <w:tab w:val="right" w:pos="9360"/>
      </w:tabs>
    </w:pPr>
  </w:style>
  <w:style w:type="character" w:customStyle="1" w:styleId="HeaderChar">
    <w:name w:val="Header Char"/>
    <w:basedOn w:val="DefaultParagraphFont"/>
    <w:link w:val="Header"/>
    <w:uiPriority w:val="99"/>
    <w:rsid w:val="00177048"/>
    <w:rPr>
      <w:sz w:val="24"/>
      <w:szCs w:val="24"/>
    </w:rPr>
  </w:style>
  <w:style w:type="character" w:customStyle="1" w:styleId="Heading2Char">
    <w:name w:val="Heading 2 Char"/>
    <w:basedOn w:val="DefaultParagraphFont"/>
    <w:link w:val="Heading2"/>
    <w:rsid w:val="00D91A49"/>
    <w:rPr>
      <w:rFonts w:ascii="Times New Roman Bold" w:hAnsi="Arial Unicode MS" w:cs="Arial Unicode MS"/>
      <w:color w:val="4F81BD"/>
      <w:sz w:val="26"/>
      <w:szCs w:val="26"/>
      <w:u w:color="4F81BD"/>
    </w:rPr>
  </w:style>
  <w:style w:type="character" w:styleId="CommentReference">
    <w:name w:val="annotation reference"/>
    <w:basedOn w:val="DefaultParagraphFont"/>
    <w:uiPriority w:val="99"/>
    <w:semiHidden/>
    <w:unhideWhenUsed/>
    <w:rsid w:val="00FA2697"/>
    <w:rPr>
      <w:sz w:val="16"/>
      <w:szCs w:val="16"/>
    </w:rPr>
  </w:style>
  <w:style w:type="paragraph" w:styleId="CommentText">
    <w:name w:val="annotation text"/>
    <w:basedOn w:val="Normal"/>
    <w:link w:val="CommentTextChar"/>
    <w:uiPriority w:val="99"/>
    <w:semiHidden/>
    <w:unhideWhenUsed/>
    <w:rsid w:val="00FA2697"/>
    <w:rPr>
      <w:sz w:val="20"/>
      <w:szCs w:val="20"/>
    </w:rPr>
  </w:style>
  <w:style w:type="character" w:customStyle="1" w:styleId="CommentTextChar">
    <w:name w:val="Comment Text Char"/>
    <w:basedOn w:val="DefaultParagraphFont"/>
    <w:link w:val="CommentText"/>
    <w:uiPriority w:val="99"/>
    <w:semiHidden/>
    <w:rsid w:val="00FA2697"/>
  </w:style>
  <w:style w:type="paragraph" w:styleId="CommentSubject">
    <w:name w:val="annotation subject"/>
    <w:basedOn w:val="CommentText"/>
    <w:next w:val="CommentText"/>
    <w:link w:val="CommentSubjectChar"/>
    <w:uiPriority w:val="99"/>
    <w:semiHidden/>
    <w:unhideWhenUsed/>
    <w:rsid w:val="00FA2697"/>
    <w:rPr>
      <w:b/>
      <w:bCs/>
    </w:rPr>
  </w:style>
  <w:style w:type="character" w:customStyle="1" w:styleId="CommentSubjectChar">
    <w:name w:val="Comment Subject Char"/>
    <w:basedOn w:val="CommentTextChar"/>
    <w:link w:val="CommentSubject"/>
    <w:uiPriority w:val="99"/>
    <w:semiHidden/>
    <w:rsid w:val="00FA2697"/>
    <w:rPr>
      <w:b/>
      <w:bCs/>
    </w:rPr>
  </w:style>
  <w:style w:type="paragraph" w:styleId="BalloonText">
    <w:name w:val="Balloon Text"/>
    <w:basedOn w:val="Normal"/>
    <w:link w:val="BalloonTextChar"/>
    <w:uiPriority w:val="99"/>
    <w:semiHidden/>
    <w:unhideWhenUsed/>
    <w:rsid w:val="00FA2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97"/>
    <w:rPr>
      <w:rFonts w:ascii="Segoe UI" w:hAnsi="Segoe UI" w:cs="Segoe UI"/>
      <w:sz w:val="18"/>
      <w:szCs w:val="18"/>
    </w:rPr>
  </w:style>
  <w:style w:type="table" w:styleId="TableGrid">
    <w:name w:val="Table Grid"/>
    <w:basedOn w:val="TableNormal"/>
    <w:uiPriority w:val="39"/>
    <w:rsid w:val="007A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E11A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610A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610A66"/>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686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legis.ga.gov/legislation/en-US/Display/20192020/sb/32" TargetMode="External"/><Relationship Id="rId3" Type="http://schemas.openxmlformats.org/officeDocument/2006/relationships/styles" Target="styles.xml"/><Relationship Id="rId21" Type="http://schemas.openxmlformats.org/officeDocument/2006/relationships/hyperlink" Target="http://www.legis.ga.gov/legislation/en-US/Display/20192020/HB/13"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egis.ga.gov/legislation/en-US/Display/20192020/hb/1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www.legis.ga.gov/legislation/en-US/Display/20192020/hb/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ga.gov/legislation/en-US/Display/20192020/sr/22"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legis.ga.gov/legislation/en-US/Display/20192020/sb/3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legis.ga.gov/legislation/en-US/Display/20172018/HB/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86862-63D0-4B7D-A91F-65013347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Katie</cp:lastModifiedBy>
  <cp:revision>6</cp:revision>
  <cp:lastPrinted>2018-01-26T15:42:00Z</cp:lastPrinted>
  <dcterms:created xsi:type="dcterms:W3CDTF">2019-01-31T17:18:00Z</dcterms:created>
  <dcterms:modified xsi:type="dcterms:W3CDTF">2019-02-01T16:00:00Z</dcterms:modified>
</cp:coreProperties>
</file>